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yle12"/>
        <w:jc w:val="right"/>
      </w:pPr>
      <w:r>
        <w:rPr>
          <w:lang w:val="ru-RU"/>
        </w:rPr>
        <w:t xml:space="preserve">Приложение  1 </w:t>
      </w:r>
      <w:r/>
    </w:p>
    <w:p>
      <w:pPr>
        <w:pStyle w:val="Style12"/>
        <w:jc w:val="right"/>
        <w:rPr>
          <w:lang w:val="ru-RU"/>
        </w:rPr>
      </w:pPr>
      <w:r>
        <w:rPr>
          <w:lang w:val="ru-RU"/>
        </w:rPr>
        <w:t>к приказу от 30.12.2020 №137</w:t>
      </w:r>
      <w:r/>
    </w:p>
    <w:p>
      <w:pPr>
        <w:pStyle w:val="Style12"/>
        <w:jc w:val="center"/>
        <w:rPr>
          <w:lang w:val="ru-RU"/>
        </w:rPr>
      </w:pPr>
      <w:r>
        <w:rPr>
          <w:lang w:val="ru-RU"/>
        </w:rPr>
        <w:t>Единая учетная политика централизованного бухгалтерского учета</w:t>
      </w:r>
      <w:r/>
    </w:p>
    <w:p>
      <w:pPr>
        <w:pStyle w:val="Style12"/>
        <w:jc w:val="both"/>
        <w:rPr>
          <w:lang w:val="ru-RU"/>
        </w:rPr>
      </w:pPr>
      <w:r>
        <w:rPr>
          <w:lang w:val="ru-RU"/>
        </w:rPr>
        <w:t>Единая учетная политика разработана для централизации бухгалтерского (бюджетного) учета муниципальных казенных, бюджетных и автономных учреждений, передавших по договорам полномочия муниципальному казенному учреждению «Централизованная бухгалтерия образования» по ведению бухгалтерского (бюджетного) учета и формированию бухгалтерской (финансовой) отчетности в соответствии:</w:t>
      </w:r>
      <w:r/>
    </w:p>
    <w:p>
      <w:pPr>
        <w:pStyle w:val="Style12"/>
        <w:numPr>
          <w:ilvl w:val="0"/>
          <w:numId w:val="1"/>
        </w:numPr>
        <w:jc w:val="both"/>
        <w:rPr>
          <w:sz w:val="24"/>
          <w:sz w:val="24"/>
          <w:szCs w:val="24"/>
          <w:color w:val="000000"/>
        </w:rPr>
      </w:pPr>
      <w:r>
        <w:rPr>
          <w:lang w:val="ru-RU"/>
        </w:rPr>
        <w:t xml:space="preserve">с приказом Минфина от 01.12.2010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w:t>
      </w:r>
      <w:r>
        <w:rPr/>
        <w:t>(далее – Инструкции к Единому плану счетов № 157н);</w:t>
      </w:r>
      <w:r/>
    </w:p>
    <w:p>
      <w:pPr>
        <w:pStyle w:val="Style12"/>
        <w:numPr>
          <w:ilvl w:val="0"/>
          <w:numId w:val="1"/>
        </w:numPr>
        <w:jc w:val="both"/>
        <w:rPr>
          <w:sz w:val="24"/>
          <w:sz w:val="24"/>
          <w:szCs w:val="24"/>
          <w:color w:val="000000"/>
        </w:rPr>
      </w:pPr>
      <w:r>
        <w:rPr>
          <w:lang w:val="ru-RU"/>
        </w:rPr>
        <w:t xml:space="preserve">приказом Минфина от 06.12.2010 № 162н «Об утверждении Плана счетов бюджетного учета и Инструкции по его применению» </w:t>
      </w:r>
      <w:r>
        <w:rPr/>
        <w:t>(далее – Инструкция № 162н);</w:t>
      </w:r>
      <w:r/>
    </w:p>
    <w:p>
      <w:pPr>
        <w:pStyle w:val="Style12"/>
        <w:numPr>
          <w:ilvl w:val="0"/>
          <w:numId w:val="1"/>
        </w:numPr>
        <w:jc w:val="both"/>
        <w:rPr>
          <w:sz w:val="24"/>
          <w:sz w:val="24"/>
          <w:szCs w:val="24"/>
          <w:color w:val="000000"/>
        </w:rPr>
      </w:pPr>
      <w:r>
        <w:rPr>
          <w:lang w:val="ru-RU"/>
        </w:rPr>
        <w:t xml:space="preserve">приказом Минфина от 16.12.2010 № 174н «Об утверждении Плана счетов бухгалтерского учета бюджетных учреждений и Инструкции по его применению» </w:t>
      </w:r>
      <w:r>
        <w:rPr/>
        <w:t>(далее – Инструкция № 174н);</w:t>
      </w:r>
      <w:r/>
    </w:p>
    <w:p>
      <w:pPr>
        <w:pStyle w:val="Style12"/>
        <w:numPr>
          <w:ilvl w:val="0"/>
          <w:numId w:val="1"/>
        </w:numPr>
        <w:jc w:val="both"/>
        <w:rPr>
          <w:sz w:val="24"/>
          <w:sz w:val="24"/>
          <w:szCs w:val="24"/>
          <w:color w:val="000000"/>
        </w:rPr>
      </w:pPr>
      <w:r>
        <w:rPr>
          <w:lang w:val="ru-RU"/>
        </w:rPr>
        <w:t xml:space="preserve">приказом Минфина от 23.12.2010 № 183н «Об утверждении Плана счетов бухгалтерского учета автономных учреждений и Инструкции по его применению» </w:t>
      </w:r>
      <w:r>
        <w:rPr/>
        <w:t>(далее – Инструкция № 183н);</w:t>
      </w:r>
      <w:r/>
    </w:p>
    <w:p>
      <w:pPr>
        <w:pStyle w:val="Style12"/>
        <w:numPr>
          <w:ilvl w:val="0"/>
          <w:numId w:val="1"/>
        </w:numPr>
        <w:jc w:val="both"/>
        <w:rPr>
          <w:sz w:val="24"/>
          <w:sz w:val="24"/>
          <w:szCs w:val="24"/>
          <w:color w:val="000000"/>
          <w:lang w:val="ru-RU"/>
        </w:rPr>
      </w:pPr>
      <w:r>
        <w:rPr>
          <w:lang w:val="ru-RU"/>
        </w:rPr>
        <w:t>приказом Минфина 06.06.2019 № 85н «О Порядке формирования и применения кодов бюджетной классификации Российской Федерации, их структуре и принципах назначения» (далее – приказ № 85н);</w:t>
      </w:r>
      <w:r/>
    </w:p>
    <w:p>
      <w:pPr>
        <w:pStyle w:val="Style12"/>
        <w:numPr>
          <w:ilvl w:val="0"/>
          <w:numId w:val="1"/>
        </w:numPr>
        <w:jc w:val="both"/>
        <w:rPr>
          <w:sz w:val="24"/>
          <w:sz w:val="24"/>
          <w:szCs w:val="24"/>
          <w:color w:val="000000"/>
          <w:lang w:val="ru-RU"/>
        </w:rPr>
      </w:pPr>
      <w:r>
        <w:rPr>
          <w:lang w:val="ru-RU"/>
        </w:rPr>
        <w:t>приказом Минфина от 29.11.2017 № 209н «Об утверждении Порядка применения классификации операций сектора государственного управления» (далее – приказ № 209н);</w:t>
      </w:r>
      <w:r/>
    </w:p>
    <w:p>
      <w:pPr>
        <w:pStyle w:val="Style12"/>
        <w:numPr>
          <w:ilvl w:val="0"/>
          <w:numId w:val="1"/>
        </w:numPr>
        <w:jc w:val="both"/>
        <w:rPr>
          <w:sz w:val="24"/>
          <w:sz w:val="24"/>
          <w:szCs w:val="24"/>
          <w:color w:val="000000"/>
        </w:rPr>
      </w:pPr>
      <w:r>
        <w:rPr>
          <w:lang w:val="ru-RU"/>
        </w:rPr>
        <w:t xml:space="preserve">приказом Минфина от 30.03.2015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w:t>
      </w:r>
      <w:r>
        <w:rPr/>
        <w:t>(далее – приказ № 52н);</w:t>
      </w:r>
      <w:r/>
    </w:p>
    <w:p>
      <w:pPr>
        <w:pStyle w:val="Style12"/>
        <w:numPr>
          <w:ilvl w:val="0"/>
          <w:numId w:val="1"/>
        </w:numPr>
        <w:jc w:val="both"/>
        <w:rPr>
          <w:sz w:val="24"/>
          <w:sz w:val="24"/>
          <w:szCs w:val="24"/>
          <w:color w:val="000000"/>
          <w:lang w:val="ru-RU"/>
        </w:rPr>
      </w:pPr>
      <w:r>
        <w:rPr>
          <w:lang w:val="ru-RU"/>
        </w:rPr>
        <w:t>федеральными стандартами бухгалтерского учета государственных финансов, утвержденными приказами Минфина от 31.12.2016 № 256н, № 257н, № 258н, № 259н, № 260н (далее – соответственно СГС «Концептуальные основы бухучета и отчетности», СГС «Основные средства», СГС «Аренда», СГС «Обесценение активов», СГС «Представление бухгалтерской (финансовой) отчетности»), от 30.12.2017 № 274н, № 275н, № 277н,</w:t>
      </w:r>
      <w:r>
        <w:rPr/>
        <w:t> </w:t>
      </w:r>
      <w:r>
        <w:rPr>
          <w:lang w:val="ru-RU"/>
        </w:rPr>
        <w:t>№ 278н (далее – соответственно СГС «Учетная политика, оценочные значения и ошибки», СГС «События после отчетной даты», СГС «Информация о связанных сторонах», СГС «Отчет о движении денежных средств»), от 27.02.2018 № 32н (далее – СГС «Доходы»), от 28.02.2018 № 34н (далее – СГС «Непроизведенные активы»), от 30.05.2018 № 122н, № 124н (далее – соответственно СГС «Влияние изменений курсов иностранных валют», СГС «Резервы»), от 07.12.2018 № 256н (далее – СГС «Запасы»), от 29.06.2018 № 145н</w:t>
      </w:r>
      <w:r>
        <w:rPr/>
        <w:t> </w:t>
      </w:r>
      <w:r>
        <w:rPr>
          <w:lang w:val="ru-RU"/>
        </w:rPr>
        <w:t>(далее – СГС «Долгосрочные договоры»), от 15.11.2019 № 181н, № 182н, № 183н, № 184н (далее – соответственно</w:t>
      </w:r>
      <w:r>
        <w:rPr/>
        <w:t> </w:t>
      </w:r>
      <w:r>
        <w:rPr>
          <w:lang w:val="ru-RU"/>
        </w:rPr>
        <w:t>СГС «Нематериальные активы», СГС «Затраты по заимствованиям», «Совместная деятельность»,</w:t>
      </w:r>
      <w:r>
        <w:rPr/>
        <w:t> </w:t>
      </w:r>
      <w:r>
        <w:rPr>
          <w:lang w:val="ru-RU"/>
        </w:rPr>
        <w:t>«Выплаты персоналу»),</w:t>
      </w:r>
      <w:r>
        <w:rPr/>
        <w:t> </w:t>
      </w:r>
      <w:r>
        <w:rPr>
          <w:lang w:val="ru-RU"/>
        </w:rPr>
        <w:t>от 30.06.2020 № 129н</w:t>
      </w:r>
      <w:r>
        <w:rPr/>
        <w:t> </w:t>
      </w:r>
      <w:r>
        <w:rPr>
          <w:lang w:val="ru-RU"/>
        </w:rPr>
        <w:t>(далее – СГС «Финансовые инструменты»).</w:t>
      </w:r>
      <w:r/>
    </w:p>
    <w:p>
      <w:pPr>
        <w:pStyle w:val="Style12"/>
        <w:jc w:val="both"/>
        <w:rPr>
          <w:sz w:val="24"/>
          <w:sz w:val="24"/>
          <w:szCs w:val="24"/>
          <w:color w:val="000000"/>
        </w:rPr>
      </w:pPr>
      <w:r>
        <w:rPr/>
        <w:t>Используемые термины и сокращения</w:t>
      </w:r>
      <w:r/>
    </w:p>
    <w:tbl>
      <w:tblPr>
        <w:tblW w:w="10545" w:type="dxa"/>
        <w:jc w:val="left"/>
        <w:tblInd w:w="-9"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75" w:type="dxa"/>
          <w:left w:w="-4" w:type="dxa"/>
          <w:bottom w:w="75" w:type="dxa"/>
          <w:right w:w="75" w:type="dxa"/>
        </w:tblCellMar>
      </w:tblPr>
      <w:tblGrid>
        <w:gridCol w:w="5272"/>
        <w:gridCol w:w="5272"/>
      </w:tblGrid>
      <w:tr>
        <w:trPr/>
        <w:tc>
          <w:tcPr>
            <w:tcW w:w="5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4" w:type="dxa"/>
            </w:tcMar>
          </w:tcPr>
          <w:p>
            <w:pPr>
              <w:pStyle w:val="Style12"/>
              <w:spacing w:before="0" w:after="140"/>
              <w:jc w:val="both"/>
              <w:rPr>
                <w:color w:val="00000A"/>
                <w:lang w:val="en-US" w:eastAsia="en-US"/>
              </w:rPr>
            </w:pPr>
            <w:r>
              <w:rPr/>
              <w:t xml:space="preserve">Наименование </w:t>
            </w:r>
            <w:r/>
          </w:p>
        </w:tc>
        <w:tc>
          <w:tcPr>
            <w:tcW w:w="5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4" w:type="dxa"/>
            </w:tcMar>
          </w:tcPr>
          <w:p>
            <w:pPr>
              <w:pStyle w:val="Style12"/>
              <w:spacing w:before="0" w:after="140"/>
              <w:jc w:val="both"/>
              <w:rPr>
                <w:color w:val="00000A"/>
                <w:lang w:val="en-US" w:eastAsia="en-US"/>
              </w:rPr>
            </w:pPr>
            <w:r>
              <w:rPr/>
              <w:t xml:space="preserve">Расшифровка </w:t>
            </w:r>
            <w:r/>
          </w:p>
        </w:tc>
      </w:tr>
      <w:tr>
        <w:trPr/>
        <w:tc>
          <w:tcPr>
            <w:tcW w:w="5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4" w:type="dxa"/>
            </w:tcMar>
          </w:tcPr>
          <w:p>
            <w:pPr>
              <w:pStyle w:val="Style12"/>
              <w:spacing w:before="0" w:after="140"/>
              <w:jc w:val="center"/>
              <w:rPr>
                <w:color w:val="00000A"/>
                <w:lang w:val="en-US" w:eastAsia="en-US"/>
              </w:rPr>
            </w:pPr>
            <w:r>
              <w:rPr/>
              <w:t>Учреждения</w:t>
            </w:r>
            <w:r/>
          </w:p>
        </w:tc>
        <w:tc>
          <w:tcPr>
            <w:tcW w:w="5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4" w:type="dxa"/>
            </w:tcMar>
          </w:tcPr>
          <w:p>
            <w:pPr>
              <w:pStyle w:val="Style12"/>
              <w:spacing w:before="0" w:after="140"/>
              <w:jc w:val="center"/>
              <w:rPr>
                <w:lang w:val="ru-RU"/>
              </w:rPr>
            </w:pPr>
            <w:r>
              <w:rPr>
                <w:lang w:val="ru-RU"/>
              </w:rPr>
              <w:t>Муниципальные казенные, бюджетные и автономные учреждения, передавшие полномочия муниципальному казенному учреждению «Централизованная бухгалтерия образования» по ведению бухгалтерского (бюджетного) учета и формированию бухгалтерской (бюджетной) отчетности</w:t>
            </w:r>
            <w:r/>
          </w:p>
        </w:tc>
      </w:tr>
      <w:tr>
        <w:trPr/>
        <w:tc>
          <w:tcPr>
            <w:tcW w:w="5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4" w:type="dxa"/>
            </w:tcMar>
          </w:tcPr>
          <w:p>
            <w:pPr>
              <w:pStyle w:val="Style12"/>
              <w:spacing w:before="0" w:after="140"/>
              <w:jc w:val="center"/>
              <w:rPr>
                <w:color w:val="00000A"/>
                <w:lang w:val="en-US" w:eastAsia="en-US"/>
              </w:rPr>
            </w:pPr>
            <w:r>
              <w:rPr/>
              <w:t>Централизованная бухгалтерия</w:t>
            </w:r>
            <w:r/>
          </w:p>
        </w:tc>
        <w:tc>
          <w:tcPr>
            <w:tcW w:w="5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4" w:type="dxa"/>
            </w:tcMar>
          </w:tcPr>
          <w:p>
            <w:pPr>
              <w:pStyle w:val="Style12"/>
              <w:spacing w:before="0" w:after="140"/>
              <w:jc w:val="center"/>
            </w:pPr>
            <w:r>
              <w:rPr>
                <w:lang w:val="ru-RU"/>
              </w:rPr>
              <w:t>Муниципальное казенное учреждение</w:t>
            </w:r>
            <w:r>
              <w:rPr/>
              <w:t> </w:t>
            </w:r>
            <w:r>
              <w:rPr>
                <w:lang w:val="ru-RU"/>
              </w:rPr>
              <w:t>«Централизованная бухгалтерия образования муниципального образования Кавказский район»</w:t>
            </w:r>
            <w:r/>
          </w:p>
        </w:tc>
      </w:tr>
      <w:tr>
        <w:trPr/>
        <w:tc>
          <w:tcPr>
            <w:tcW w:w="5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4" w:type="dxa"/>
            </w:tcMar>
          </w:tcPr>
          <w:p>
            <w:pPr>
              <w:pStyle w:val="Style12"/>
              <w:spacing w:before="0" w:after="140"/>
              <w:jc w:val="center"/>
              <w:rPr>
                <w:color w:val="00000A"/>
                <w:lang w:val="en-US" w:eastAsia="en-US"/>
              </w:rPr>
            </w:pPr>
            <w:r>
              <w:rPr/>
              <w:t>КБК</w:t>
            </w:r>
            <w:r/>
          </w:p>
        </w:tc>
        <w:tc>
          <w:tcPr>
            <w:tcW w:w="5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4" w:type="dxa"/>
            </w:tcMar>
          </w:tcPr>
          <w:p>
            <w:pPr>
              <w:pStyle w:val="Style12"/>
              <w:spacing w:before="0" w:after="140"/>
              <w:jc w:val="center"/>
              <w:rPr>
                <w:lang w:val="ru-RU"/>
              </w:rPr>
            </w:pPr>
            <w:r>
              <w:rPr>
                <w:lang w:val="ru-RU"/>
              </w:rPr>
              <w:t>1–17 разряды номера счета в соответствии с Рабочим планом счетов</w:t>
            </w:r>
            <w:r/>
          </w:p>
        </w:tc>
      </w:tr>
      <w:tr>
        <w:trPr/>
        <w:tc>
          <w:tcPr>
            <w:tcW w:w="5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4" w:type="dxa"/>
            </w:tcMar>
          </w:tcPr>
          <w:p>
            <w:pPr>
              <w:pStyle w:val="Style12"/>
              <w:spacing w:before="0" w:after="140"/>
              <w:jc w:val="center"/>
              <w:rPr>
                <w:color w:val="00000A"/>
                <w:lang w:val="en-US" w:eastAsia="en-US"/>
              </w:rPr>
            </w:pPr>
            <w:r>
              <w:rPr/>
              <w:t>Х</w:t>
            </w:r>
            <w:r/>
          </w:p>
        </w:tc>
        <w:tc>
          <w:tcPr>
            <w:tcW w:w="5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4" w:type="dxa"/>
            </w:tcMar>
          </w:tcPr>
          <w:p>
            <w:pPr>
              <w:pStyle w:val="Style12"/>
              <w:spacing w:before="0" w:after="140"/>
              <w:jc w:val="center"/>
              <w:rPr>
                <w:lang w:val="ru-RU"/>
              </w:rPr>
            </w:pPr>
            <w:r>
              <w:rPr>
                <w:lang w:val="ru-RU"/>
              </w:rPr>
              <w:t>В зависимости от того, в каком разряде номера счета бухучета стоит обозначение:</w:t>
              <w:br/>
              <w:tab/>
              <w:tab/>
              <w:tab/>
              <w:t>– 18 разряд – код вида финансового обеспечения (деятельности);</w:t>
              <w:br/>
              <w:tab/>
              <w:tab/>
              <w:tab/>
              <w:t>– 26 разряд – соответствующая подстатья КОСГУ</w:t>
            </w:r>
            <w:r/>
          </w:p>
        </w:tc>
      </w:tr>
    </w:tbl>
    <w:p>
      <w:pPr>
        <w:pStyle w:val="Style12"/>
        <w:jc w:val="both"/>
        <w:rPr>
          <w:sz w:val="22"/>
          <w:sz w:val="22"/>
          <w:szCs w:val="22"/>
          <w:rFonts w:ascii="Times New Roman" w:hAnsi="Times New Roman" w:eastAsia="Times New Roman" w:cs="Times New Roman"/>
          <w:color w:val="00000A"/>
          <w:lang w:val="en-US" w:eastAsia="en-US" w:bidi="ar-SA"/>
        </w:rPr>
      </w:pPr>
      <w:r>
        <w:rPr>
          <w:rFonts w:eastAsia="Times New Roman" w:cs="Times New Roman"/>
          <w:color w:val="00000A"/>
          <w:sz w:val="22"/>
          <w:szCs w:val="22"/>
          <w:lang w:val="en-US" w:eastAsia="en-US" w:bidi="ar-SA"/>
        </w:rPr>
      </w:r>
      <w:r/>
    </w:p>
    <w:p>
      <w:pPr>
        <w:pStyle w:val="Style12"/>
        <w:jc w:val="both"/>
        <w:rPr>
          <w:sz w:val="24"/>
          <w:sz w:val="24"/>
          <w:szCs w:val="24"/>
          <w:color w:val="000000"/>
          <w:lang w:val="ru-RU"/>
        </w:rPr>
      </w:pPr>
      <w:r>
        <w:rPr>
          <w:b/>
          <w:bCs/>
        </w:rPr>
        <w:t>I</w:t>
      </w:r>
      <w:r>
        <w:rPr>
          <w:b/>
          <w:bCs/>
          <w:lang w:val="ru-RU"/>
        </w:rPr>
        <w:t xml:space="preserve"> . Общие положения</w:t>
      </w:r>
      <w:r/>
    </w:p>
    <w:p>
      <w:pPr>
        <w:pStyle w:val="Style12"/>
        <w:jc w:val="both"/>
        <w:rPr>
          <w:sz w:val="24"/>
          <w:sz w:val="24"/>
          <w:szCs w:val="24"/>
          <w:color w:val="000000"/>
          <w:lang w:val="ru-RU"/>
        </w:rPr>
      </w:pPr>
      <w:r>
        <w:rPr>
          <w:lang w:val="ru-RU"/>
        </w:rPr>
        <w:t>1. Бухгалтерский</w:t>
      </w:r>
      <w:r>
        <w:rPr/>
        <w:t> </w:t>
      </w:r>
      <w:r>
        <w:rPr>
          <w:lang w:val="ru-RU"/>
        </w:rPr>
        <w:t>учет в учреждениях ведется в соответствии с Рабочим планов счетов централизованного учета. Рабочий план, правила внесения в него изменений, а также правила</w:t>
      </w:r>
      <w:r>
        <w:rPr/>
        <w:t> </w:t>
      </w:r>
      <w:r>
        <w:rPr>
          <w:lang w:val="ru-RU"/>
        </w:rPr>
        <w:t>формирования номера счета бухгалтерского учета утверждены в приложении 2 к настоящему приказу.</w:t>
        <w:br/>
        <w:t xml:space="preserve"> Основание: подпункт «б» пункта 14</w:t>
      </w:r>
      <w:r>
        <w:rPr/>
        <w:t> </w:t>
      </w:r>
      <w:r>
        <w:rPr>
          <w:lang w:val="ru-RU"/>
        </w:rPr>
        <w:t>СГС «Концептуальные основы бухучета и отчетности».</w:t>
      </w:r>
      <w:r/>
    </w:p>
    <w:p>
      <w:pPr>
        <w:pStyle w:val="Style12"/>
        <w:jc w:val="both"/>
        <w:rPr>
          <w:lang w:val="ru-RU"/>
        </w:rPr>
      </w:pPr>
      <w:r>
        <w:rPr>
          <w:lang w:val="ru-RU"/>
        </w:rPr>
        <w:t xml:space="preserve">2.  Единая учетная политика применяется из года в год. Внесении изменений в единую учетную политику производится в порядке, предусмотренном разделом </w:t>
      </w:r>
      <w:r>
        <w:rPr/>
        <w:t>VI</w:t>
      </w:r>
      <w:r>
        <w:rPr>
          <w:lang w:val="ru-RU"/>
        </w:rPr>
        <w:t xml:space="preserve"> настоящего документа.</w:t>
      </w:r>
      <w:r/>
    </w:p>
    <w:p>
      <w:pPr>
        <w:pStyle w:val="Style12"/>
        <w:jc w:val="both"/>
      </w:pPr>
      <w:r>
        <w:rPr>
          <w:lang w:val="ru-RU"/>
        </w:rPr>
        <w:t>3. Взаимодействие</w:t>
      </w:r>
      <w:r>
        <w:rPr/>
        <w:t> </w:t>
      </w:r>
      <w:r>
        <w:rPr>
          <w:lang w:val="ru-RU"/>
        </w:rPr>
        <w:t>централизованной бухгалтерии с учреждениями при формировании первичных (сводных) учетных документов,</w:t>
      </w:r>
      <w:r>
        <w:rPr/>
        <w:t> </w:t>
      </w:r>
      <w:r>
        <w:rPr>
          <w:lang w:val="ru-RU"/>
        </w:rPr>
        <w:t>при представлении данных бухгалтерского учета</w:t>
      </w:r>
      <w:r>
        <w:rPr/>
        <w:t> </w:t>
      </w:r>
      <w:r>
        <w:rPr>
          <w:lang w:val="ru-RU"/>
        </w:rPr>
        <w:t xml:space="preserve">осуществляется посредством передачи электронных документов либо электронных образов (скан-копий) бумажных документов либо бумажные документы. </w:t>
        <w:br/>
        <w:t xml:space="preserve"> Основание: подпункт «г», «д» пункта 14 СГС «Концептуальные основы бухучета и отчетности».</w:t>
      </w:r>
      <w:r/>
    </w:p>
    <w:p>
      <w:pPr>
        <w:pStyle w:val="Style12"/>
        <w:jc w:val="both"/>
      </w:pPr>
      <w:r>
        <w:rPr>
          <w:lang w:val="ru-RU"/>
        </w:rPr>
        <w:t>4. Порядок проведения</w:t>
      </w:r>
      <w:r>
        <w:rPr/>
        <w:t> </w:t>
      </w:r>
      <w:r>
        <w:rPr>
          <w:lang w:val="ru-RU"/>
        </w:rPr>
        <w:t xml:space="preserve">инвентаризации активов, имущества, учитываемого на забалансовых счетах, обязательств, иных объектов бухгалтерского учета устанавливается приказом управления образования. Инвентаризация  в подведомственных учреждениях проводится с 1 октября по 31 декабря ежегодно постоянно действующей инвентаризационной комиссией в составе не менее 5 человек. Результаты инвентаризации учреждения передают в централизованную бухгалтерию. Приложение 6. </w:t>
        <w:br/>
        <w:t xml:space="preserve"> Основание: подпункт «в» пункта 14 СГС «Концептуальные основы бухучета и отчетности».</w:t>
      </w:r>
      <w:r/>
    </w:p>
    <w:p>
      <w:pPr>
        <w:pStyle w:val="Style12"/>
        <w:jc w:val="both"/>
        <w:rPr>
          <w:sz w:val="24"/>
          <w:sz w:val="24"/>
          <w:szCs w:val="24"/>
          <w:color w:val="000000"/>
          <w:lang w:val="ru-RU"/>
        </w:rPr>
      </w:pPr>
      <w:r>
        <w:rPr>
          <w:b/>
          <w:bCs/>
        </w:rPr>
        <w:t>II</w:t>
      </w:r>
      <w:r>
        <w:rPr>
          <w:b/>
          <w:bCs/>
          <w:lang w:val="ru-RU"/>
        </w:rPr>
        <w:t>. Технология  обработки учетной информации</w:t>
      </w:r>
      <w:r/>
    </w:p>
    <w:p>
      <w:pPr>
        <w:pStyle w:val="Style12"/>
        <w:jc w:val="both"/>
      </w:pPr>
      <w:r>
        <w:rPr>
          <w:lang w:val="ru-RU"/>
        </w:rPr>
        <w:t xml:space="preserve">1. Бухгалтерский учет ведется в электронном виде с применением </w:t>
      </w:r>
      <w:bookmarkStart w:id="0" w:name="__DdeLink__640_131167604"/>
      <w:r>
        <w:rPr>
          <w:lang w:val="ru-RU"/>
        </w:rPr>
        <w:t>программных продуктов 1С Предприятие; Талисман «Заработная плата и тарификация.</w:t>
      </w:r>
      <w:bookmarkEnd w:id="0"/>
      <w:r>
        <w:rPr>
          <w:lang w:val="ru-RU"/>
        </w:rPr>
        <w:br/>
        <w:t xml:space="preserve"> Основание: пункт 6 Инструкции к Единому плану счетов № 157н.</w:t>
      </w:r>
      <w:r/>
    </w:p>
    <w:p>
      <w:pPr>
        <w:pStyle w:val="Style12"/>
        <w:jc w:val="both"/>
        <w:rPr>
          <w:sz w:val="24"/>
          <w:sz w:val="24"/>
          <w:szCs w:val="24"/>
          <w:color w:val="000000"/>
          <w:lang w:val="ru-RU"/>
        </w:rPr>
      </w:pPr>
      <w:r>
        <w:rPr>
          <w:lang w:val="ru-RU"/>
        </w:rPr>
        <w:t>2. В целях обеспечения сохранности электронных данных бухгалтерского учета и отчетности:</w:t>
      </w:r>
      <w:r/>
    </w:p>
    <w:p>
      <w:pPr>
        <w:pStyle w:val="Style12"/>
        <w:numPr>
          <w:ilvl w:val="0"/>
          <w:numId w:val="2"/>
        </w:numPr>
        <w:jc w:val="both"/>
        <w:rPr>
          <w:lang w:val="ru-RU"/>
        </w:rPr>
      </w:pPr>
      <w:r>
        <w:rPr>
          <w:lang w:val="ru-RU"/>
        </w:rPr>
        <w:t>на сервере ежедневно производится сохранение резервных копий базы программыных продуктов 1С Предприятие; Талисман «Заработная плата и тарификация.</w:t>
      </w:r>
      <w:r/>
    </w:p>
    <w:p>
      <w:pPr>
        <w:pStyle w:val="Style12"/>
        <w:numPr>
          <w:ilvl w:val="0"/>
          <w:numId w:val="2"/>
        </w:numPr>
        <w:jc w:val="both"/>
        <w:rPr>
          <w:lang w:val="ru-RU"/>
        </w:rPr>
      </w:pPr>
      <w:r>
        <w:rPr>
          <w:lang w:val="ru-RU"/>
        </w:rPr>
        <w:t xml:space="preserve">по итогам отчетного года после сдачи отчетности производится запись копии базы данных на внешний носитель – </w:t>
      </w:r>
      <w:r>
        <w:rPr/>
        <w:t>CD</w:t>
      </w:r>
      <w:r>
        <w:rPr>
          <w:lang w:val="ru-RU"/>
        </w:rPr>
        <w:t>-диск, который хранится в сейфе главного бухгалтера централизованной бухгалтерии;</w:t>
      </w:r>
      <w:r/>
    </w:p>
    <w:p>
      <w:pPr>
        <w:pStyle w:val="Style12"/>
        <w:numPr>
          <w:ilvl w:val="0"/>
          <w:numId w:val="2"/>
        </w:numPr>
        <w:jc w:val="both"/>
        <w:rPr>
          <w:sz w:val="24"/>
          <w:sz w:val="24"/>
          <w:szCs w:val="24"/>
          <w:color w:val="000000"/>
          <w:lang w:val="ru-RU"/>
        </w:rPr>
      </w:pPr>
      <w:r>
        <w:rPr>
          <w:lang w:val="ru-RU"/>
        </w:rPr>
        <w:t>по итогам каждого календарного месяца бухгалтерские регистры, сформированные в электронном виде, распечатываются на бумажный носитель и подшиваются в отдельные папки для каждого учреждения в хронологическом порядке.</w:t>
      </w:r>
      <w:r/>
    </w:p>
    <w:p>
      <w:pPr>
        <w:pStyle w:val="Style12"/>
        <w:jc w:val="both"/>
        <w:rPr>
          <w:sz w:val="24"/>
          <w:sz w:val="24"/>
          <w:szCs w:val="24"/>
          <w:color w:val="000000"/>
          <w:lang w:val="ru-RU"/>
        </w:rPr>
      </w:pPr>
      <w:r>
        <w:rPr>
          <w:lang w:val="ru-RU"/>
        </w:rPr>
        <w:t>Основание: пункт 19 Инструкции к Единому плану счетов № 157н, пункт 33 СГС «Концептуальные основы бухучета и отчетности».</w:t>
      </w:r>
      <w:r/>
    </w:p>
    <w:p>
      <w:pPr>
        <w:pStyle w:val="Style12"/>
        <w:jc w:val="both"/>
        <w:rPr>
          <w:lang w:val="ru-RU"/>
        </w:rPr>
      </w:pPr>
      <w:r>
        <w:rPr>
          <w:lang w:val="ru-RU"/>
        </w:rPr>
        <w:t>3. Хранение предоставленных (сформированных) первичных учетных документов обеспечивает централизованная бухгалтерия в соответствии с правилами организации  архивного дела в Р.Ф</w:t>
      </w:r>
      <w:r/>
    </w:p>
    <w:p>
      <w:pPr>
        <w:pStyle w:val="Style12"/>
        <w:jc w:val="both"/>
        <w:rPr>
          <w:sz w:val="24"/>
          <w:sz w:val="24"/>
          <w:szCs w:val="24"/>
          <w:color w:val="000000"/>
          <w:lang w:val="ru-RU"/>
        </w:rPr>
      </w:pPr>
      <w:r>
        <w:rPr>
          <w:b/>
          <w:bCs/>
        </w:rPr>
        <w:t>III</w:t>
      </w:r>
      <w:r>
        <w:rPr>
          <w:b/>
          <w:bCs/>
          <w:lang w:val="ru-RU"/>
        </w:rPr>
        <w:t>. Правила документооборота</w:t>
      </w:r>
      <w:r/>
    </w:p>
    <w:p>
      <w:pPr>
        <w:pStyle w:val="Style12"/>
        <w:jc w:val="both"/>
        <w:rPr>
          <w:sz w:val="24"/>
          <w:sz w:val="24"/>
          <w:szCs w:val="24"/>
          <w:color w:val="000000"/>
          <w:lang w:val="ru-RU"/>
        </w:rPr>
      </w:pPr>
      <w:r>
        <w:rPr>
          <w:lang w:val="ru-RU"/>
        </w:rPr>
        <w:t>1. График</w:t>
      </w:r>
      <w:r>
        <w:rPr/>
        <w:t> </w:t>
      </w:r>
      <w:r>
        <w:rPr>
          <w:lang w:val="ru-RU"/>
        </w:rPr>
        <w:t>документооборота утвержден в</w:t>
      </w:r>
      <w:r>
        <w:rPr/>
        <w:t> </w:t>
      </w:r>
      <w:r>
        <w:rPr>
          <w:lang w:val="ru-RU"/>
        </w:rPr>
        <w:t>приложении 3 к настоящему приказу.</w:t>
      </w:r>
      <w:r/>
    </w:p>
    <w:p>
      <w:pPr>
        <w:pStyle w:val="Style12"/>
        <w:jc w:val="both"/>
      </w:pPr>
      <w:r>
        <w:rPr>
          <w:lang w:val="ru-RU"/>
        </w:rPr>
        <w:t>2. Первичные и сводные учетные документы, бухгалтерские регистры составляются в форме электронного документа, подписанного квалифицированной электронной подписью. При отсутствии возможности составить документ, регистр в электронном виде</w:t>
      </w:r>
      <w:r>
        <w:rPr/>
        <w:t> </w:t>
      </w:r>
      <w:r>
        <w:rPr>
          <w:lang w:val="ru-RU"/>
        </w:rPr>
        <w:t>он может быть составлен на бумажном носителе, заверен собственноручной подписью и передан в централизованную бухгалтерию.</w:t>
      </w:r>
      <w:r/>
    </w:p>
    <w:p>
      <w:pPr>
        <w:pStyle w:val="Style12"/>
        <w:jc w:val="both"/>
        <w:rPr>
          <w:sz w:val="24"/>
          <w:sz w:val="24"/>
          <w:szCs w:val="24"/>
          <w:color w:val="000000"/>
          <w:lang w:val="ru-RU"/>
        </w:rPr>
      </w:pPr>
      <w:r>
        <w:rPr>
          <w:lang w:val="ru-RU"/>
        </w:rPr>
        <w:t>Основание: часть 5 статьи 9 Закона от 06.12.2011 № 402-ФЗ, пункт 11 Инструкции к Единому плану счетов № 157н, пункт 32 СГС «Концептуальные основы бухучета и отчетности», Методические указания, утвержденные приказом Минфина от 30.03.2015 № 52н, статья 2 Закона от 06.04.2011 № 63-ФЗ.</w:t>
      </w:r>
      <w:r/>
    </w:p>
    <w:p>
      <w:pPr>
        <w:pStyle w:val="Style12"/>
        <w:jc w:val="both"/>
      </w:pPr>
      <w:r>
        <w:rPr>
          <w:lang w:val="ru-RU"/>
        </w:rPr>
        <w:t>3. При</w:t>
      </w:r>
      <w:r>
        <w:rPr/>
        <w:t> </w:t>
      </w:r>
      <w:r>
        <w:rPr>
          <w:lang w:val="ru-RU"/>
        </w:rPr>
        <w:t>необходимости изготовления бумажных копий электронных документов и регистров бухгалтерского учета</w:t>
      </w:r>
      <w:r>
        <w:rPr/>
        <w:t> </w:t>
      </w:r>
      <w:r>
        <w:rPr>
          <w:lang w:val="ru-RU"/>
        </w:rPr>
        <w:t>бумажные копии заверяются штампом, который проставляется автоматически при распечатке документа: «Документ подписан электронной подписью в системе электронного документооборота с указанием сведений о сертификате электронной подписи – кому выдан и срок действия. Дополнительно сотрудник Централизованной бухгалтерии, ответственный за обработку документа, ведение регистра,</w:t>
      </w:r>
      <w:r/>
    </w:p>
    <w:p>
      <w:pPr>
        <w:pStyle w:val="Style12"/>
      </w:pPr>
      <w:r>
        <w:rPr>
          <w:lang w:val="ru-RU"/>
        </w:rPr>
        <w:t xml:space="preserve"> </w:t>
      </w:r>
      <w:r>
        <w:rPr>
          <w:lang w:val="ru-RU"/>
        </w:rPr>
        <w:t>ставит свою подпись.</w:t>
        <w:br/>
        <w:t xml:space="preserve"> Основание: пункт 32 СГС «Концептуальные основы бухучета и отчетности».</w:t>
      </w:r>
      <w:r/>
    </w:p>
    <w:p>
      <w:pPr>
        <w:pStyle w:val="Style12"/>
        <w:jc w:val="both"/>
      </w:pPr>
      <w:r>
        <w:rPr>
          <w:lang w:val="ru-RU"/>
        </w:rPr>
        <w:t>4. Формирование электронных</w:t>
      </w:r>
      <w:r>
        <w:rPr/>
        <w:t> </w:t>
      </w:r>
      <w:r>
        <w:rPr>
          <w:lang w:val="ru-RU"/>
        </w:rPr>
        <w:t>регистров бухучета осуществляется в следующем порядке:</w:t>
        <w:br/>
        <w:t xml:space="preserve"> – в регистрах в хронологическом порядке систематизируются первичные (сводные) учетные документы по датам совершения операций, дате принятия к учету первичного документа; переодичность формирования регистров бухгалтерского учета на бумажном носителях приложение 7</w:t>
        <w:br/>
        <w:t xml:space="preserve"> – инвентарная карточка учета нефинансовых активов оформляется при принятии объекта к учету, по мере внесения изменений (данных о переоценке, модернизации, реконструкции, консервации и пр.) и при выбытии. При отсутствии указанных событий – ежегодно, на последний рабочий день года, со сведениями о начисленной амортизации;</w:t>
      </w:r>
      <w:r/>
    </w:p>
    <w:p>
      <w:pPr>
        <w:pStyle w:val="Style12"/>
        <w:jc w:val="both"/>
      </w:pPr>
      <w:r>
        <w:rPr>
          <w:lang w:val="ru-RU"/>
        </w:rPr>
        <w:t xml:space="preserve">– </w:t>
      </w:r>
      <w:r>
        <w:rPr>
          <w:lang w:val="ru-RU"/>
        </w:rPr>
        <w:t>инвентарная карточка группового учета нефинансовых активов оформляется при принятии объектов к учету, по мере внесения изменений (данных о переоценке, модернизации, реконструкции, консервации и</w:t>
      </w:r>
      <w:r/>
    </w:p>
    <w:p>
      <w:pPr>
        <w:pStyle w:val="Style12"/>
        <w:jc w:val="both"/>
      </w:pPr>
      <w:r>
        <w:rPr>
          <w:lang w:val="ru-RU"/>
        </w:rPr>
        <w:t xml:space="preserve"> </w:t>
      </w:r>
      <w:r>
        <w:rPr>
          <w:lang w:val="ru-RU"/>
        </w:rPr>
        <w:t>пр.) и при выбытии;</w:t>
      </w:r>
      <w:r/>
    </w:p>
    <w:p>
      <w:pPr>
        <w:pStyle w:val="Style12"/>
        <w:jc w:val="both"/>
      </w:pPr>
      <w:r>
        <w:rPr>
          <w:lang w:val="ru-RU"/>
        </w:rPr>
        <w:t xml:space="preserve">– </w:t>
      </w:r>
      <w:r>
        <w:rPr>
          <w:lang w:val="ru-RU"/>
        </w:rPr>
        <w:t>опись инвентарных карточек по учету нефинансовых активов, инвентарный список основных средств, реестр карточек заполняются ежегодно, в последний день года;</w:t>
        <w:br/>
        <w:t xml:space="preserve"> – книга учета бланков строгой отчетности, книга аналитического учета депонированной зарплаты заполняются ежемесячно, в последний день месяца;</w:t>
      </w:r>
      <w:r/>
    </w:p>
    <w:p>
      <w:pPr>
        <w:pStyle w:val="Style12"/>
        <w:jc w:val="both"/>
      </w:pPr>
      <w:r>
        <w:rPr>
          <w:lang w:val="ru-RU"/>
        </w:rPr>
        <w:t xml:space="preserve">– </w:t>
      </w:r>
      <w:r>
        <w:rPr>
          <w:lang w:val="ru-RU"/>
        </w:rPr>
        <w:t>журналы операций, главная книга заполняются ежемесячно;</w:t>
        <w:br/>
        <w:t xml:space="preserve"> – другие регистры, не указанные выше, заполняются по мере необходимости, если иное не установлено законодательствомРФ.</w:t>
        <w:br/>
        <w:t xml:space="preserve"> Основание: пункты 11, 167 Инструкции к Единому плану счетов № 157н, Методические указания, утвержденные приказом Минфина от 30.03.2015 № 52н.</w:t>
      </w:r>
      <w:r/>
    </w:p>
    <w:p>
      <w:pPr>
        <w:pStyle w:val="Style12"/>
        <w:jc w:val="both"/>
      </w:pPr>
      <w:r>
        <w:rPr>
          <w:lang w:val="ru-RU"/>
        </w:rPr>
        <w:t>5. Журнал операций расчетов по оплате труда, денежному довольствию и стипендиям (ф. 0504071) ведется раздельно по кодам финансового обеспечения деятельности учреждений:</w:t>
      </w:r>
      <w:r/>
    </w:p>
    <w:p>
      <w:pPr>
        <w:pStyle w:val="Style12"/>
        <w:numPr>
          <w:ilvl w:val="0"/>
          <w:numId w:val="3"/>
        </w:numPr>
        <w:jc w:val="both"/>
        <w:rPr>
          <w:sz w:val="24"/>
          <w:sz w:val="24"/>
          <w:szCs w:val="24"/>
          <w:color w:val="000000"/>
          <w:lang w:val="ru-RU"/>
        </w:rPr>
      </w:pPr>
      <w:r>
        <w:rPr>
          <w:lang w:val="ru-RU"/>
        </w:rPr>
        <w:t>КБК Х.302.11.000 «Расчеты по заработной плате» и КБК Х.302.13.000 «Расчеты по начислениям на выплаты по оплате труда»;</w:t>
      </w:r>
      <w:r/>
    </w:p>
    <w:p>
      <w:pPr>
        <w:pStyle w:val="Style12"/>
        <w:numPr>
          <w:ilvl w:val="0"/>
          <w:numId w:val="3"/>
        </w:numPr>
        <w:jc w:val="both"/>
        <w:rPr>
          <w:sz w:val="24"/>
          <w:sz w:val="24"/>
          <w:szCs w:val="24"/>
          <w:color w:val="000000"/>
          <w:lang w:val="ru-RU"/>
        </w:rPr>
      </w:pPr>
      <w:r>
        <w:rPr>
          <w:lang w:val="ru-RU"/>
        </w:rPr>
        <w:t>КБК Х.302.12.000 «Расчеты по прочим несоциальным выплатам персоналу в денежной форме» и КБК Х.302.14.000 «Расчеты по прочим несоциальным выплатам персоналу в натуральной форме»;</w:t>
      </w:r>
      <w:r/>
    </w:p>
    <w:p>
      <w:pPr>
        <w:pStyle w:val="Style12"/>
        <w:numPr>
          <w:ilvl w:val="0"/>
          <w:numId w:val="3"/>
        </w:numPr>
        <w:jc w:val="both"/>
        <w:rPr>
          <w:sz w:val="24"/>
          <w:sz w:val="24"/>
          <w:szCs w:val="24"/>
          <w:color w:val="000000"/>
          <w:lang w:val="ru-RU"/>
        </w:rPr>
      </w:pPr>
      <w:r>
        <w:rPr>
          <w:lang w:val="ru-RU"/>
        </w:rPr>
        <w:t>КБК Х.302.66.000 «Расчеты по социальным пособиям и компенсациям персоналу в денежной форме» и КБК Х.302.67.000 «Расчеты по социальным компенсациям персоналу в натуральной форме»;</w:t>
      </w:r>
      <w:r/>
    </w:p>
    <w:p>
      <w:pPr>
        <w:pStyle w:val="Style12"/>
        <w:numPr>
          <w:ilvl w:val="0"/>
          <w:numId w:val="3"/>
        </w:numPr>
        <w:jc w:val="both"/>
        <w:rPr>
          <w:sz w:val="24"/>
          <w:sz w:val="24"/>
          <w:szCs w:val="24"/>
          <w:color w:val="000000"/>
          <w:lang w:val="ru-RU"/>
        </w:rPr>
      </w:pPr>
      <w:r>
        <w:rPr>
          <w:lang w:val="ru-RU"/>
        </w:rPr>
        <w:t>КБК Х.302.96.000 «Расчеты по иным выплатам текущего характера физическим лицам».</w:t>
      </w:r>
      <w:r/>
    </w:p>
    <w:p>
      <w:pPr>
        <w:pStyle w:val="Style12"/>
        <w:jc w:val="both"/>
        <w:rPr>
          <w:sz w:val="24"/>
          <w:sz w:val="24"/>
          <w:szCs w:val="24"/>
          <w:color w:val="000000"/>
          <w:lang w:val="ru-RU"/>
        </w:rPr>
      </w:pPr>
      <w:r>
        <w:rPr>
          <w:lang w:val="ru-RU"/>
        </w:rPr>
        <w:t>Основание: пункт 257 Инструкции к Единому плану счетов № 157н.</w:t>
      </w:r>
      <w:r/>
    </w:p>
    <w:p>
      <w:pPr>
        <w:pStyle w:val="Style12"/>
        <w:jc w:val="both"/>
        <w:rPr>
          <w:sz w:val="24"/>
          <w:sz w:val="24"/>
          <w:szCs w:val="24"/>
          <w:color w:val="000000"/>
          <w:lang w:val="ru-RU"/>
        </w:rPr>
      </w:pPr>
      <w:r>
        <w:rPr>
          <w:lang w:val="ru-RU"/>
        </w:rPr>
        <w:t>6. Формирование журналов операций</w:t>
      </w:r>
      <w:r>
        <w:rPr/>
        <w:t> </w:t>
      </w:r>
      <w:r>
        <w:rPr>
          <w:lang w:val="ru-RU"/>
        </w:rPr>
        <w:t>осуществляется в форме документа (регистра) ежемесячно в соответствии со следующей нумерацией.</w:t>
      </w:r>
      <w:r/>
    </w:p>
    <w:p>
      <w:pPr>
        <w:pStyle w:val="Style12"/>
        <w:jc w:val="both"/>
        <w:rPr>
          <w:sz w:val="24"/>
          <w:sz w:val="24"/>
          <w:szCs w:val="24"/>
          <w:color w:val="000000"/>
        </w:rPr>
      </w:pPr>
      <w:r>
        <w:rPr/>
        <w:t>Номера журналов операций</w:t>
      </w:r>
      <w:r/>
    </w:p>
    <w:tbl>
      <w:tblPr>
        <w:tblW w:w="10605" w:type="dxa"/>
        <w:jc w:val="left"/>
        <w:tblInd w:w="-9"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75" w:type="dxa"/>
          <w:left w:w="-4" w:type="dxa"/>
          <w:bottom w:w="75" w:type="dxa"/>
          <w:right w:w="75" w:type="dxa"/>
        </w:tblCellMar>
      </w:tblPr>
      <w:tblGrid>
        <w:gridCol w:w="5302"/>
        <w:gridCol w:w="5302"/>
      </w:tblGrid>
      <w:tr>
        <w:trPr/>
        <w:tc>
          <w:tcPr>
            <w:tcW w:w="530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4" w:type="dxa"/>
            </w:tcMar>
          </w:tcPr>
          <w:p>
            <w:pPr>
              <w:pStyle w:val="Style12"/>
              <w:spacing w:before="0" w:after="140"/>
              <w:jc w:val="center"/>
              <w:rPr>
                <w:sz w:val="22"/>
                <w:sz w:val="22"/>
                <w:szCs w:val="22"/>
                <w:rFonts w:ascii="Times New Roman" w:hAnsi="Times New Roman" w:eastAsia="Times New Roman" w:cs="Times New Roman"/>
                <w:color w:val="00000A"/>
                <w:lang w:val="en-US" w:eastAsia="en-US" w:bidi="ar-SA"/>
              </w:rPr>
            </w:pPr>
            <w:r>
              <w:rPr/>
              <w:t>Номер</w:t>
              <w:tab/>
              <w:t>журнала</w:t>
            </w:r>
            <w:r/>
          </w:p>
        </w:tc>
        <w:tc>
          <w:tcPr>
            <w:tcW w:w="530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4" w:type="dxa"/>
            </w:tcMar>
          </w:tcPr>
          <w:p>
            <w:pPr>
              <w:pStyle w:val="Style12"/>
              <w:spacing w:before="0" w:after="140"/>
              <w:jc w:val="center"/>
              <w:rPr>
                <w:sz w:val="22"/>
                <w:sz w:val="22"/>
                <w:szCs w:val="22"/>
                <w:rFonts w:ascii="Times New Roman" w:hAnsi="Times New Roman" w:eastAsia="Times New Roman" w:cs="Times New Roman"/>
                <w:color w:val="00000A"/>
                <w:lang w:val="en-US" w:eastAsia="en-US" w:bidi="ar-SA"/>
              </w:rPr>
            </w:pPr>
            <w:r>
              <w:rPr/>
              <w:t>Наименование журнала</w:t>
            </w:r>
            <w:r/>
          </w:p>
        </w:tc>
      </w:tr>
      <w:tr>
        <w:trPr/>
        <w:tc>
          <w:tcPr>
            <w:tcW w:w="530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4" w:type="dxa"/>
            </w:tcMar>
          </w:tcPr>
          <w:p>
            <w:pPr>
              <w:pStyle w:val="Style12"/>
              <w:spacing w:before="0" w:after="140"/>
              <w:jc w:val="center"/>
              <w:rPr>
                <w:sz w:val="22"/>
                <w:sz w:val="22"/>
                <w:szCs w:val="22"/>
                <w:rFonts w:ascii="Times New Roman" w:hAnsi="Times New Roman" w:eastAsia="Times New Roman" w:cs="Times New Roman"/>
                <w:color w:val="00000A"/>
                <w:lang w:val="en-US" w:eastAsia="en-US" w:bidi="ar-SA"/>
              </w:rPr>
            </w:pPr>
            <w:r>
              <w:rPr/>
              <w:t>1</w:t>
            </w:r>
            <w:r/>
          </w:p>
        </w:tc>
        <w:tc>
          <w:tcPr>
            <w:tcW w:w="530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4" w:type="dxa"/>
            </w:tcMar>
          </w:tcPr>
          <w:p>
            <w:pPr>
              <w:pStyle w:val="Style12"/>
              <w:spacing w:before="0" w:after="140"/>
              <w:jc w:val="center"/>
              <w:rPr>
                <w:lang w:val="ru-RU"/>
              </w:rPr>
            </w:pPr>
            <w:r>
              <w:rPr>
                <w:lang w:val="ru-RU"/>
              </w:rPr>
              <w:t>Журнал операций по счету «Касса»</w:t>
            </w:r>
            <w:r/>
          </w:p>
        </w:tc>
      </w:tr>
      <w:tr>
        <w:trPr/>
        <w:tc>
          <w:tcPr>
            <w:tcW w:w="530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4" w:type="dxa"/>
            </w:tcMar>
          </w:tcPr>
          <w:p>
            <w:pPr>
              <w:pStyle w:val="Style12"/>
              <w:spacing w:before="0" w:after="140"/>
              <w:jc w:val="center"/>
              <w:rPr>
                <w:sz w:val="22"/>
                <w:sz w:val="22"/>
                <w:szCs w:val="22"/>
                <w:rFonts w:ascii="Times New Roman" w:hAnsi="Times New Roman" w:eastAsia="Times New Roman" w:cs="Times New Roman"/>
                <w:color w:val="00000A"/>
                <w:lang w:val="en-US" w:eastAsia="en-US" w:bidi="ar-SA"/>
              </w:rPr>
            </w:pPr>
            <w:r>
              <w:rPr/>
              <w:t>2</w:t>
            </w:r>
            <w:r/>
          </w:p>
        </w:tc>
        <w:tc>
          <w:tcPr>
            <w:tcW w:w="530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4" w:type="dxa"/>
            </w:tcMar>
          </w:tcPr>
          <w:p>
            <w:pPr>
              <w:pStyle w:val="Style12"/>
              <w:spacing w:before="0" w:after="140"/>
              <w:jc w:val="center"/>
              <w:rPr>
                <w:lang w:val="ru-RU"/>
              </w:rPr>
            </w:pPr>
            <w:r>
              <w:rPr>
                <w:lang w:val="ru-RU"/>
              </w:rPr>
              <w:t>Журнал операций с безналичными денежными средствами</w:t>
            </w:r>
            <w:r/>
          </w:p>
        </w:tc>
      </w:tr>
      <w:tr>
        <w:trPr/>
        <w:tc>
          <w:tcPr>
            <w:tcW w:w="530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4" w:type="dxa"/>
            </w:tcMar>
          </w:tcPr>
          <w:p>
            <w:pPr>
              <w:pStyle w:val="Style12"/>
              <w:spacing w:before="0" w:after="140"/>
              <w:jc w:val="center"/>
              <w:rPr>
                <w:sz w:val="22"/>
                <w:sz w:val="22"/>
                <w:szCs w:val="22"/>
                <w:rFonts w:ascii="Times New Roman" w:hAnsi="Times New Roman" w:eastAsia="Times New Roman" w:cs="Times New Roman"/>
                <w:color w:val="00000A"/>
                <w:lang w:val="en-US" w:eastAsia="en-US" w:bidi="ar-SA"/>
              </w:rPr>
            </w:pPr>
            <w:r>
              <w:rPr/>
              <w:t>3</w:t>
            </w:r>
            <w:r/>
          </w:p>
        </w:tc>
        <w:tc>
          <w:tcPr>
            <w:tcW w:w="530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4" w:type="dxa"/>
            </w:tcMar>
          </w:tcPr>
          <w:p>
            <w:pPr>
              <w:pStyle w:val="Style12"/>
              <w:spacing w:before="0" w:after="140"/>
              <w:jc w:val="center"/>
              <w:rPr>
                <w:lang w:val="ru-RU"/>
              </w:rPr>
            </w:pPr>
            <w:r>
              <w:rPr>
                <w:lang w:val="ru-RU"/>
              </w:rPr>
              <w:t>Журнал операций расчетов с подотчетными лицами</w:t>
            </w:r>
            <w:r/>
          </w:p>
        </w:tc>
      </w:tr>
      <w:tr>
        <w:trPr/>
        <w:tc>
          <w:tcPr>
            <w:tcW w:w="530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4" w:type="dxa"/>
            </w:tcMar>
          </w:tcPr>
          <w:p>
            <w:pPr>
              <w:pStyle w:val="Style12"/>
              <w:spacing w:before="0" w:after="140"/>
              <w:jc w:val="center"/>
              <w:rPr>
                <w:sz w:val="22"/>
                <w:sz w:val="22"/>
                <w:szCs w:val="22"/>
                <w:rFonts w:ascii="Times New Roman" w:hAnsi="Times New Roman" w:eastAsia="Times New Roman" w:cs="Times New Roman"/>
                <w:color w:val="00000A"/>
                <w:lang w:val="en-US" w:eastAsia="en-US" w:bidi="ar-SA"/>
              </w:rPr>
            </w:pPr>
            <w:r>
              <w:rPr/>
              <w:t>4</w:t>
            </w:r>
            <w:r/>
          </w:p>
        </w:tc>
        <w:tc>
          <w:tcPr>
            <w:tcW w:w="530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4" w:type="dxa"/>
            </w:tcMar>
          </w:tcPr>
          <w:p>
            <w:pPr>
              <w:pStyle w:val="Style12"/>
              <w:spacing w:before="0" w:after="140"/>
              <w:jc w:val="center"/>
              <w:rPr>
                <w:lang w:val="ru-RU"/>
              </w:rPr>
            </w:pPr>
            <w:r>
              <w:rPr>
                <w:lang w:val="ru-RU"/>
              </w:rPr>
              <w:t>Журнал операций расчетов с поставщиками и подрядчиками</w:t>
            </w:r>
            <w:r/>
          </w:p>
        </w:tc>
      </w:tr>
      <w:tr>
        <w:trPr/>
        <w:tc>
          <w:tcPr>
            <w:tcW w:w="530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4" w:type="dxa"/>
            </w:tcMar>
          </w:tcPr>
          <w:p>
            <w:pPr>
              <w:pStyle w:val="Style12"/>
              <w:spacing w:before="0" w:after="140"/>
              <w:jc w:val="center"/>
              <w:rPr>
                <w:sz w:val="22"/>
                <w:sz w:val="22"/>
                <w:szCs w:val="22"/>
                <w:rFonts w:ascii="Times New Roman" w:hAnsi="Times New Roman" w:eastAsia="Times New Roman" w:cs="Times New Roman"/>
                <w:color w:val="00000A"/>
                <w:lang w:val="en-US" w:eastAsia="en-US" w:bidi="ar-SA"/>
              </w:rPr>
            </w:pPr>
            <w:r>
              <w:rPr/>
              <w:t>5</w:t>
            </w:r>
            <w:r/>
          </w:p>
        </w:tc>
        <w:tc>
          <w:tcPr>
            <w:tcW w:w="530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4" w:type="dxa"/>
            </w:tcMar>
          </w:tcPr>
          <w:p>
            <w:pPr>
              <w:pStyle w:val="Style12"/>
              <w:spacing w:before="0" w:after="140"/>
              <w:jc w:val="center"/>
              <w:rPr>
                <w:lang w:val="ru-RU"/>
              </w:rPr>
            </w:pPr>
            <w:r>
              <w:rPr>
                <w:lang w:val="ru-RU"/>
              </w:rPr>
              <w:t>Журнал операций расчетов с дебиторами по доходам</w:t>
            </w:r>
            <w:r/>
          </w:p>
        </w:tc>
      </w:tr>
      <w:tr>
        <w:trPr/>
        <w:tc>
          <w:tcPr>
            <w:tcW w:w="530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4" w:type="dxa"/>
            </w:tcMar>
          </w:tcPr>
          <w:p>
            <w:pPr>
              <w:pStyle w:val="Style12"/>
              <w:spacing w:before="0" w:after="140"/>
              <w:jc w:val="center"/>
              <w:rPr>
                <w:sz w:val="22"/>
                <w:sz w:val="22"/>
                <w:szCs w:val="22"/>
                <w:rFonts w:ascii="Times New Roman" w:hAnsi="Times New Roman" w:eastAsia="Times New Roman" w:cs="Times New Roman"/>
                <w:color w:val="00000A"/>
                <w:lang w:val="en-US" w:eastAsia="en-US" w:bidi="ar-SA"/>
              </w:rPr>
            </w:pPr>
            <w:r>
              <w:rPr/>
              <w:t>6</w:t>
            </w:r>
            <w:r/>
          </w:p>
        </w:tc>
        <w:tc>
          <w:tcPr>
            <w:tcW w:w="530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4" w:type="dxa"/>
            </w:tcMar>
          </w:tcPr>
          <w:p>
            <w:pPr>
              <w:pStyle w:val="Style12"/>
              <w:spacing w:before="0" w:after="140"/>
              <w:jc w:val="center"/>
              <w:rPr>
                <w:lang w:val="ru-RU"/>
              </w:rPr>
            </w:pPr>
            <w:r>
              <w:rPr>
                <w:lang w:val="ru-RU"/>
              </w:rPr>
              <w:t>Журнал операций расчетов по оплате труда, денежному довольствию и стипендиям</w:t>
            </w:r>
            <w:r/>
          </w:p>
        </w:tc>
      </w:tr>
      <w:tr>
        <w:trPr/>
        <w:tc>
          <w:tcPr>
            <w:tcW w:w="530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4" w:type="dxa"/>
            </w:tcMar>
          </w:tcPr>
          <w:p>
            <w:pPr>
              <w:pStyle w:val="Style12"/>
              <w:spacing w:before="0" w:after="140"/>
              <w:jc w:val="center"/>
              <w:rPr>
                <w:sz w:val="22"/>
                <w:sz w:val="22"/>
                <w:szCs w:val="22"/>
                <w:rFonts w:ascii="Times New Roman" w:hAnsi="Times New Roman" w:eastAsia="Times New Roman" w:cs="Times New Roman"/>
                <w:color w:val="00000A"/>
                <w:lang w:val="en-US" w:eastAsia="en-US" w:bidi="ar-SA"/>
              </w:rPr>
            </w:pPr>
            <w:r>
              <w:rPr/>
              <w:t>7</w:t>
            </w:r>
            <w:r/>
          </w:p>
        </w:tc>
        <w:tc>
          <w:tcPr>
            <w:tcW w:w="530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4" w:type="dxa"/>
            </w:tcMar>
          </w:tcPr>
          <w:p>
            <w:pPr>
              <w:pStyle w:val="Style12"/>
              <w:spacing w:before="0" w:after="140"/>
              <w:jc w:val="center"/>
              <w:rPr>
                <w:lang w:val="ru-RU"/>
              </w:rPr>
            </w:pPr>
            <w:r>
              <w:rPr>
                <w:lang w:val="ru-RU"/>
              </w:rPr>
              <w:t>Журнал операций по выбытию и перемещению нефинансовых активов</w:t>
            </w:r>
            <w:r/>
          </w:p>
        </w:tc>
      </w:tr>
      <w:tr>
        <w:trPr/>
        <w:tc>
          <w:tcPr>
            <w:tcW w:w="530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4" w:type="dxa"/>
            </w:tcMar>
          </w:tcPr>
          <w:p>
            <w:pPr>
              <w:pStyle w:val="Style12"/>
              <w:spacing w:before="0" w:after="140"/>
              <w:jc w:val="center"/>
              <w:rPr>
                <w:sz w:val="22"/>
                <w:sz w:val="22"/>
                <w:szCs w:val="22"/>
                <w:rFonts w:ascii="Times New Roman" w:hAnsi="Times New Roman" w:eastAsia="Times New Roman" w:cs="Times New Roman"/>
                <w:color w:val="00000A"/>
                <w:lang w:val="en-US" w:eastAsia="en-US" w:bidi="ar-SA"/>
              </w:rPr>
            </w:pPr>
            <w:r>
              <w:rPr/>
              <w:t>8</w:t>
            </w:r>
            <w:r/>
          </w:p>
        </w:tc>
        <w:tc>
          <w:tcPr>
            <w:tcW w:w="530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4" w:type="dxa"/>
            </w:tcMar>
          </w:tcPr>
          <w:p>
            <w:pPr>
              <w:pStyle w:val="Style12"/>
              <w:spacing w:before="0" w:after="140"/>
              <w:jc w:val="center"/>
              <w:rPr>
                <w:sz w:val="22"/>
                <w:sz w:val="22"/>
                <w:szCs w:val="22"/>
                <w:rFonts w:ascii="Times New Roman" w:hAnsi="Times New Roman" w:eastAsia="Times New Roman" w:cs="Times New Roman"/>
                <w:color w:val="00000A"/>
                <w:lang w:val="en-US" w:eastAsia="en-US" w:bidi="ar-SA"/>
              </w:rPr>
            </w:pPr>
            <w:r>
              <w:rPr/>
              <w:t>Журнал по прочим операциям</w:t>
            </w:r>
            <w:r/>
          </w:p>
        </w:tc>
      </w:tr>
      <w:tr>
        <w:trPr/>
        <w:tc>
          <w:tcPr>
            <w:tcW w:w="530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4" w:type="dxa"/>
            </w:tcMar>
          </w:tcPr>
          <w:p>
            <w:pPr>
              <w:pStyle w:val="Style12"/>
              <w:spacing w:before="0" w:after="140"/>
              <w:jc w:val="center"/>
              <w:rPr>
                <w:sz w:val="22"/>
                <w:sz w:val="22"/>
                <w:szCs w:val="22"/>
                <w:rFonts w:ascii="Times New Roman" w:hAnsi="Times New Roman" w:eastAsia="Times New Roman" w:cs="Times New Roman"/>
                <w:color w:val="00000A"/>
                <w:lang w:val="en-US" w:eastAsia="en-US" w:bidi="ar-SA"/>
              </w:rPr>
            </w:pPr>
            <w:r>
              <w:rPr/>
              <w:t>9</w:t>
            </w:r>
            <w:r/>
          </w:p>
        </w:tc>
        <w:tc>
          <w:tcPr>
            <w:tcW w:w="530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4" w:type="dxa"/>
            </w:tcMar>
          </w:tcPr>
          <w:p>
            <w:pPr>
              <w:pStyle w:val="Style12"/>
              <w:spacing w:before="0" w:after="140"/>
              <w:jc w:val="center"/>
              <w:rPr>
                <w:lang w:val="ru-RU"/>
              </w:rPr>
            </w:pPr>
            <w:r>
              <w:rPr>
                <w:lang w:val="ru-RU"/>
              </w:rPr>
              <w:t>Журнал операций по исправлению ошибок прошлых лет</w:t>
            </w:r>
            <w:r/>
          </w:p>
        </w:tc>
      </w:tr>
      <w:tr>
        <w:trPr/>
        <w:tc>
          <w:tcPr>
            <w:tcW w:w="530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4" w:type="dxa"/>
            </w:tcMar>
          </w:tcPr>
          <w:p>
            <w:pPr>
              <w:pStyle w:val="Style12"/>
              <w:spacing w:before="0" w:after="140"/>
              <w:jc w:val="center"/>
              <w:rPr>
                <w:sz w:val="22"/>
                <w:sz w:val="22"/>
                <w:szCs w:val="22"/>
                <w:rFonts w:ascii="Times New Roman" w:hAnsi="Times New Roman" w:eastAsia="Times New Roman" w:cs="Times New Roman"/>
                <w:color w:val="00000A"/>
                <w:lang w:val="en-US" w:eastAsia="en-US" w:bidi="ar-SA"/>
              </w:rPr>
            </w:pPr>
            <w:r>
              <w:rPr/>
              <w:t>10</w:t>
            </w:r>
            <w:r/>
          </w:p>
        </w:tc>
        <w:tc>
          <w:tcPr>
            <w:tcW w:w="530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4" w:type="dxa"/>
            </w:tcMar>
          </w:tcPr>
          <w:p>
            <w:pPr>
              <w:pStyle w:val="Style12"/>
              <w:spacing w:before="0" w:after="140"/>
              <w:jc w:val="center"/>
              <w:rPr>
                <w:sz w:val="22"/>
                <w:sz w:val="22"/>
                <w:szCs w:val="22"/>
                <w:rFonts w:ascii="Times New Roman" w:hAnsi="Times New Roman" w:eastAsia="Times New Roman" w:cs="Times New Roman"/>
                <w:color w:val="00000A"/>
                <w:lang w:val="en-US" w:eastAsia="en-US" w:bidi="ar-SA"/>
              </w:rPr>
            </w:pPr>
            <w:r>
              <w:rPr/>
              <w:t>Журнал операций межотчетного периода</w:t>
            </w:r>
            <w:r/>
          </w:p>
        </w:tc>
      </w:tr>
    </w:tbl>
    <w:p>
      <w:pPr>
        <w:pStyle w:val="Style12"/>
        <w:jc w:val="both"/>
      </w:pPr>
      <w:r>
        <w:rPr>
          <w:rFonts w:eastAsia="Times New Roman" w:cs="Times New Roman"/>
          <w:color w:val="00000A"/>
          <w:sz w:val="22"/>
          <w:szCs w:val="22"/>
          <w:lang w:val="ru-RU" w:eastAsia="en-US" w:bidi="ar-SA"/>
        </w:rPr>
        <w:t xml:space="preserve">Журналы операций ведутся раздельно по кодам финансового обеспечения. Журналы формируются ежемесячно в последний день месяца. К журналам прилагаются первичные документы согласно приложению 4. </w:t>
      </w:r>
      <w:r>
        <w:rPr>
          <w:lang w:val="ru-RU"/>
        </w:rPr>
        <w:t>Главная книга (ф. 0504072) формируется отдельно по каждому учреждению.</w:t>
      </w:r>
      <w:r/>
    </w:p>
    <w:p>
      <w:pPr>
        <w:pStyle w:val="Style12"/>
        <w:jc w:val="both"/>
        <w:rPr>
          <w:sz w:val="24"/>
          <w:sz w:val="24"/>
          <w:szCs w:val="24"/>
          <w:color w:val="000000"/>
          <w:lang w:val="ru-RU"/>
        </w:rPr>
      </w:pPr>
      <w:r>
        <w:rPr>
          <w:lang w:val="ru-RU"/>
        </w:rPr>
        <w:t>7. Первичные учетные документы, регистры бухгалтерского учета, по которым не предусмотрены</w:t>
      </w:r>
      <w:r>
        <w:rPr/>
        <w:t> </w:t>
      </w:r>
      <w:r>
        <w:rPr>
          <w:lang w:val="ru-RU"/>
        </w:rPr>
        <w:t>обязательные для применения унифицированные формы, утверждаются руководителем организации отдельным приказом приложение 5.</w:t>
        <w:br/>
        <w:t xml:space="preserve"> Основание: пункты 25–26 СГС «Концептуальные основы бухучета и отчетности», подпункт «г» пункта 9 СГС «Учетная политика, оценочные значения и ошибки».</w:t>
      </w:r>
      <w:r/>
    </w:p>
    <w:p>
      <w:pPr>
        <w:pStyle w:val="Style12"/>
        <w:jc w:val="both"/>
        <w:rPr>
          <w:sz w:val="24"/>
          <w:sz w:val="24"/>
          <w:szCs w:val="24"/>
          <w:color w:val="000000"/>
          <w:lang w:val="ru-RU"/>
        </w:rPr>
      </w:pPr>
      <w:r>
        <w:rPr>
          <w:lang w:val="ru-RU"/>
        </w:rPr>
        <w:t>8. При</w:t>
      </w:r>
      <w:r>
        <w:rPr/>
        <w:t> </w:t>
      </w:r>
      <w:r>
        <w:rPr>
          <w:lang w:val="ru-RU"/>
        </w:rPr>
        <w:t>поступлении документов на иностранном языке построчный перевод таких документов на русский язык осуществляется сотрудником учреждения, который назначен ответственным за перевод документов приказом руководителя учреждения, либо лицом, предоставившим документ, –</w:t>
      </w:r>
      <w:r>
        <w:rPr/>
        <w:t> </w:t>
      </w:r>
      <w:r>
        <w:rPr>
          <w:lang w:val="ru-RU"/>
        </w:rPr>
        <w:t>под его ответственность за корректность перевода. Переводы составляются на отдельном документе, заверяются подписью сотрудника, составившего перевод, и прикладываются к первичным документам. В случае невозможности перевода документа привлекается профессиональный переводчик. Перевод денежных (финансовых) документов заверяется нотариусом.</w:t>
      </w:r>
      <w:r/>
    </w:p>
    <w:p>
      <w:pPr>
        <w:pStyle w:val="Style12"/>
        <w:jc w:val="both"/>
        <w:rPr>
          <w:sz w:val="24"/>
          <w:sz w:val="24"/>
          <w:szCs w:val="24"/>
          <w:color w:val="000000"/>
          <w:lang w:val="ru-RU"/>
        </w:rPr>
      </w:pPr>
      <w:r>
        <w:rPr>
          <w:lang w:val="ru-RU"/>
        </w:rPr>
        <w:t>Если документы на иностранном языке составлены по типовой форме (идентичны по количеству граф, их названию, расшифровке работ и т. д. и отличаются только суммой), то в отношении их постоянных показателей достаточно однократного перевода на русский язык. Впоследствии переводить нужно только изменяющиеся показатели данного первичного документа.</w:t>
      </w:r>
      <w:r/>
    </w:p>
    <w:p>
      <w:pPr>
        <w:pStyle w:val="Style12"/>
        <w:jc w:val="both"/>
        <w:rPr>
          <w:sz w:val="24"/>
          <w:sz w:val="24"/>
          <w:szCs w:val="24"/>
          <w:color w:val="000000"/>
          <w:lang w:val="ru-RU"/>
        </w:rPr>
      </w:pPr>
      <w:r>
        <w:rPr>
          <w:lang w:val="ru-RU"/>
        </w:rPr>
        <w:t>Основание: пункт 31 СГС «Концептуальные основы бухучета и отчетности».</w:t>
      </w:r>
      <w:r/>
    </w:p>
    <w:p>
      <w:pPr>
        <w:pStyle w:val="Style12"/>
        <w:jc w:val="both"/>
        <w:rPr>
          <w:sz w:val="24"/>
          <w:sz w:val="24"/>
          <w:szCs w:val="24"/>
          <w:color w:val="000000"/>
          <w:lang w:val="ru-RU"/>
        </w:rPr>
      </w:pPr>
      <w:r>
        <w:rPr>
          <w:lang w:val="ru-RU"/>
        </w:rPr>
        <w:t>9. Первичные учетные документы, выставленные учреждению поставщиком (подрядчиком, исполнителем) в последний рабочий день отчетного периода, но поступившие от учреждения в месяце, следующем за отчетным:</w:t>
      </w:r>
      <w:r/>
    </w:p>
    <w:p>
      <w:pPr>
        <w:pStyle w:val="Style12"/>
        <w:numPr>
          <w:ilvl w:val="0"/>
          <w:numId w:val="4"/>
        </w:numPr>
        <w:jc w:val="both"/>
        <w:rPr>
          <w:sz w:val="24"/>
          <w:sz w:val="24"/>
          <w:szCs w:val="24"/>
          <w:color w:val="000000"/>
          <w:lang w:val="ru-RU"/>
        </w:rPr>
      </w:pPr>
      <w:r>
        <w:rPr>
          <w:lang w:val="ru-RU"/>
        </w:rPr>
        <w:t>за пять и более рабочих дней до даты представления отчетности, отражаются предыдущим месяцем;</w:t>
      </w:r>
      <w:r/>
    </w:p>
    <w:p>
      <w:pPr>
        <w:pStyle w:val="Style12"/>
        <w:numPr>
          <w:ilvl w:val="0"/>
          <w:numId w:val="4"/>
        </w:numPr>
        <w:jc w:val="both"/>
        <w:rPr>
          <w:sz w:val="24"/>
          <w:sz w:val="24"/>
          <w:szCs w:val="24"/>
          <w:color w:val="000000"/>
          <w:lang w:val="ru-RU"/>
        </w:rPr>
      </w:pPr>
      <w:r>
        <w:rPr>
          <w:lang w:val="ru-RU"/>
        </w:rPr>
        <w:t>менее пяти рабочих дней до даты представления отчетности, отражаются месяцем их поступления.</w:t>
      </w:r>
      <w:r/>
    </w:p>
    <w:p>
      <w:pPr>
        <w:pStyle w:val="Style12"/>
        <w:jc w:val="both"/>
        <w:rPr>
          <w:sz w:val="24"/>
          <w:sz w:val="24"/>
          <w:szCs w:val="24"/>
          <w:color w:val="000000"/>
          <w:lang w:val="ru-RU"/>
        </w:rPr>
      </w:pPr>
      <w:r>
        <w:rPr>
          <w:lang w:val="ru-RU"/>
        </w:rPr>
        <w:t>Первичные учетные документы, выставленные учреждению поставщиком (подрядчиком, исполнителем) в последний рабочий день отчетного года, но поступившие от учреждения в году, следующем за отчетным:</w:t>
      </w:r>
      <w:r/>
    </w:p>
    <w:p>
      <w:pPr>
        <w:pStyle w:val="Style12"/>
        <w:numPr>
          <w:ilvl w:val="0"/>
          <w:numId w:val="5"/>
        </w:numPr>
        <w:jc w:val="both"/>
        <w:rPr>
          <w:sz w:val="24"/>
          <w:sz w:val="24"/>
          <w:szCs w:val="24"/>
          <w:color w:val="000000"/>
          <w:lang w:val="ru-RU"/>
        </w:rPr>
      </w:pPr>
      <w:r>
        <w:rPr>
          <w:lang w:val="ru-RU"/>
        </w:rPr>
        <w:t>за 10 и более рабочих дней до даты представления отчетности, отражаются предыдущим месяцем;</w:t>
      </w:r>
      <w:r/>
    </w:p>
    <w:p>
      <w:pPr>
        <w:pStyle w:val="Style12"/>
        <w:numPr>
          <w:ilvl w:val="0"/>
          <w:numId w:val="5"/>
        </w:numPr>
        <w:jc w:val="both"/>
        <w:rPr>
          <w:sz w:val="24"/>
          <w:sz w:val="24"/>
          <w:szCs w:val="24"/>
          <w:color w:val="000000"/>
          <w:lang w:val="ru-RU"/>
        </w:rPr>
      </w:pPr>
      <w:r>
        <w:rPr>
          <w:lang w:val="ru-RU"/>
        </w:rPr>
        <w:t>менее 10 рабочих дней до даты представления отчетности, отражаются месяцем их поступления.</w:t>
      </w:r>
      <w:r/>
    </w:p>
    <w:p>
      <w:pPr>
        <w:pStyle w:val="Style12"/>
        <w:jc w:val="both"/>
        <w:rPr>
          <w:sz w:val="24"/>
          <w:sz w:val="24"/>
          <w:szCs w:val="24"/>
          <w:color w:val="000000"/>
          <w:lang w:val="ru-RU"/>
        </w:rPr>
      </w:pPr>
      <w:r>
        <w:rPr>
          <w:lang w:val="ru-RU"/>
        </w:rPr>
        <w:t>10. В деятельности учреждений</w:t>
      </w:r>
      <w:r>
        <w:rPr/>
        <w:t> </w:t>
      </w:r>
      <w:r>
        <w:rPr>
          <w:lang w:val="ru-RU"/>
        </w:rPr>
        <w:t>используются следующие бланки строгой отчетности:</w:t>
      </w:r>
      <w:r/>
    </w:p>
    <w:p>
      <w:pPr>
        <w:pStyle w:val="Style12"/>
        <w:jc w:val="both"/>
      </w:pPr>
      <w:r>
        <w:rPr>
          <w:lang w:val="ru-RU"/>
        </w:rPr>
        <w:t xml:space="preserve">– </w:t>
      </w:r>
      <w:r>
        <w:rPr>
          <w:lang w:val="ru-RU"/>
        </w:rPr>
        <w:t>аттестаты, приложения к аттестатам.</w:t>
      </w:r>
      <w:r/>
    </w:p>
    <w:p>
      <w:pPr>
        <w:pStyle w:val="Style12"/>
        <w:jc w:val="both"/>
      </w:pPr>
      <w:r>
        <w:rPr>
          <w:lang w:val="ru-RU"/>
        </w:rPr>
        <w:t xml:space="preserve"> </w:t>
      </w:r>
      <w:r>
        <w:rPr>
          <w:lang w:val="ru-RU"/>
        </w:rPr>
        <w:t>Учет бланков ведется по стоимости их приобретения.</w:t>
      </w:r>
      <w:r>
        <w:rPr/>
        <w:t> </w:t>
      </w:r>
      <w:r>
        <w:rPr>
          <w:lang w:val="ru-RU"/>
        </w:rPr>
        <w:t>Перечень должностей сотрудников, ответственных за учет, хранение и выдачу бланков строгой отчетности, учреждения устанавливают самостоятельно.</w:t>
      </w:r>
      <w:r/>
    </w:p>
    <w:p>
      <w:pPr>
        <w:pStyle w:val="Style12"/>
        <w:jc w:val="both"/>
        <w:rPr>
          <w:sz w:val="24"/>
          <w:sz w:val="24"/>
          <w:szCs w:val="24"/>
          <w:color w:val="000000"/>
          <w:lang w:val="ru-RU"/>
        </w:rPr>
      </w:pPr>
      <w:r>
        <w:rPr>
          <w:lang w:val="ru-RU"/>
        </w:rPr>
        <w:t>Основание: пункт 337 Инструкции к Единому плану счетов № 157н.</w:t>
      </w:r>
      <w:r/>
    </w:p>
    <w:p>
      <w:pPr>
        <w:pStyle w:val="Style12"/>
        <w:jc w:val="both"/>
        <w:rPr>
          <w:sz w:val="24"/>
          <w:sz w:val="24"/>
          <w:szCs w:val="24"/>
          <w:color w:val="000000"/>
          <w:lang w:val="ru-RU"/>
        </w:rPr>
      </w:pPr>
      <w:r>
        <w:rPr>
          <w:lang w:val="ru-RU"/>
        </w:rPr>
        <w:t>11. Особенности применения первичных документов:</w:t>
      </w:r>
      <w:r/>
    </w:p>
    <w:p>
      <w:pPr>
        <w:pStyle w:val="Style12"/>
        <w:jc w:val="both"/>
        <w:rPr>
          <w:sz w:val="24"/>
          <w:sz w:val="24"/>
          <w:szCs w:val="24"/>
          <w:color w:val="000000"/>
          <w:lang w:val="ru-RU"/>
        </w:rPr>
      </w:pPr>
      <w:r>
        <w:rPr>
          <w:lang w:val="ru-RU"/>
        </w:rPr>
        <w:t>11.1. При</w:t>
      </w:r>
      <w:r>
        <w:rPr/>
        <w:t> </w:t>
      </w:r>
      <w:r>
        <w:rPr>
          <w:lang w:val="ru-RU"/>
        </w:rPr>
        <w:t>приобретении и реализации основных средств, нематериальных и непроизведенных активов составляется Акт о приеме-передаче объектов нефинансовых активов (ф. 0504101).</w:t>
      </w:r>
      <w:r/>
    </w:p>
    <w:p>
      <w:pPr>
        <w:pStyle w:val="Style12"/>
        <w:jc w:val="both"/>
        <w:rPr>
          <w:sz w:val="24"/>
          <w:sz w:val="24"/>
          <w:szCs w:val="24"/>
          <w:color w:val="000000"/>
          <w:lang w:val="ru-RU"/>
        </w:rPr>
      </w:pPr>
      <w:r>
        <w:rPr>
          <w:lang w:val="ru-RU"/>
        </w:rPr>
        <w:t>11.2. При ремонте нового оборудования, неисправность которого была выявлена при монтаже, составляется Акт о выявленных дефектах оборудования по форме № ОС-16 (ф. 0306008).</w:t>
      </w:r>
      <w:r/>
    </w:p>
    <w:p>
      <w:pPr>
        <w:pStyle w:val="Style12"/>
        <w:jc w:val="both"/>
        <w:rPr>
          <w:sz w:val="24"/>
          <w:sz w:val="24"/>
          <w:szCs w:val="24"/>
          <w:color w:val="000000"/>
          <w:lang w:val="ru-RU"/>
        </w:rPr>
      </w:pPr>
      <w:r>
        <w:rPr>
          <w:lang w:val="ru-RU"/>
        </w:rPr>
        <w:t>11.3. В Табеле</w:t>
      </w:r>
      <w:r>
        <w:rPr/>
        <w:t> </w:t>
      </w:r>
      <w:r>
        <w:rPr>
          <w:lang w:val="ru-RU"/>
        </w:rPr>
        <w:t>учета использования рабочего времени (ф. 0504421) учет фактически отработанного времени ведется по каждому сотруднику сплошным учетом фактических явок и неявок на работу. При отражении отклонений в соответствующих графах в верхней половине строки указываются часы отклонений, а в нижней –коды отклонений, а также в нижней части записываются часы работы в ночное время. Если  у сотрудника учреждения было два вида отклонения от нормального использования рабочего времени в один день, тогда нижняя половина записывается в виде дроби, где числитель- условное обозначение отклонения, а знаменатель – часы работы( например, С/2). Если отклонений в один день еще больше, то сотрудник заносится в табель дважды. Заполненный табель, приказы по видам переработок (замещений, работа в праздничные дни, ночные часы) и другие документы, оформленные соответствующими подписями, в установленные сроки сдаются в бухгалтерию.</w:t>
      </w:r>
      <w:r/>
    </w:p>
    <w:p>
      <w:pPr>
        <w:pStyle w:val="Style12"/>
        <w:jc w:val="both"/>
        <w:rPr>
          <w:sz w:val="24"/>
          <w:sz w:val="24"/>
          <w:szCs w:val="24"/>
          <w:color w:val="000000"/>
          <w:lang w:val="ru-RU"/>
        </w:rPr>
      </w:pPr>
      <w:r>
        <w:rPr>
          <w:lang w:val="ru-RU"/>
        </w:rPr>
        <w:t>Табель учета использования рабочего времени (ф. 0504421) дополнен условными</w:t>
        <w:br/>
        <w:t xml:space="preserve"> обозначениями.</w:t>
      </w:r>
      <w:r/>
    </w:p>
    <w:tbl>
      <w:tblPr>
        <w:tblW w:w="8805" w:type="dxa"/>
        <w:jc w:val="left"/>
        <w:tblInd w:w="-9"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75" w:type="dxa"/>
          <w:left w:w="-4" w:type="dxa"/>
          <w:bottom w:w="75" w:type="dxa"/>
          <w:right w:w="75" w:type="dxa"/>
        </w:tblCellMar>
      </w:tblPr>
      <w:tblGrid>
        <w:gridCol w:w="4402"/>
        <w:gridCol w:w="4402"/>
      </w:tblGrid>
      <w:tr>
        <w:trPr/>
        <w:tc>
          <w:tcPr>
            <w:tcW w:w="440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4" w:type="dxa"/>
            </w:tcMar>
          </w:tcPr>
          <w:p>
            <w:pPr>
              <w:pStyle w:val="Style12"/>
              <w:spacing w:before="0" w:after="140"/>
              <w:jc w:val="center"/>
              <w:rPr>
                <w:sz w:val="22"/>
                <w:sz w:val="22"/>
                <w:szCs w:val="22"/>
                <w:rFonts w:ascii="Times New Roman" w:hAnsi="Times New Roman" w:eastAsia="Times New Roman" w:cs="Times New Roman"/>
                <w:color w:val="00000A"/>
                <w:lang w:val="en-US" w:eastAsia="en-US" w:bidi="ar-SA"/>
              </w:rPr>
            </w:pPr>
            <w:r>
              <w:rPr/>
              <w:t>Наименование показателя</w:t>
            </w:r>
            <w:r/>
          </w:p>
        </w:tc>
        <w:tc>
          <w:tcPr>
            <w:tcW w:w="440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4" w:type="dxa"/>
            </w:tcMar>
          </w:tcPr>
          <w:p>
            <w:pPr>
              <w:pStyle w:val="Style12"/>
              <w:spacing w:before="0" w:after="140"/>
              <w:jc w:val="center"/>
              <w:rPr>
                <w:sz w:val="22"/>
                <w:sz w:val="22"/>
                <w:szCs w:val="22"/>
                <w:rFonts w:ascii="Times New Roman" w:hAnsi="Times New Roman" w:eastAsia="Times New Roman" w:cs="Times New Roman"/>
                <w:color w:val="00000A"/>
                <w:lang w:val="en-US" w:eastAsia="en-US" w:bidi="ar-SA"/>
              </w:rPr>
            </w:pPr>
            <w:r>
              <w:rPr/>
              <w:t>Код</w:t>
            </w:r>
            <w:r/>
          </w:p>
        </w:tc>
      </w:tr>
      <w:tr>
        <w:trPr/>
        <w:tc>
          <w:tcPr>
            <w:tcW w:w="440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4" w:type="dxa"/>
            </w:tcMar>
          </w:tcPr>
          <w:p>
            <w:pPr>
              <w:pStyle w:val="Style12"/>
              <w:spacing w:before="0" w:after="140"/>
              <w:jc w:val="center"/>
              <w:rPr>
                <w:sz w:val="22"/>
                <w:sz w:val="22"/>
                <w:szCs w:val="22"/>
                <w:rFonts w:ascii="Times New Roman" w:hAnsi="Times New Roman" w:eastAsia="Times New Roman" w:cs="Times New Roman"/>
                <w:color w:val="00000A"/>
                <w:lang w:val="ru-RU" w:eastAsia="en-US" w:bidi="ar-SA"/>
              </w:rPr>
            </w:pPr>
            <w:r>
              <w:rPr>
                <w:lang w:val="ru-RU"/>
              </w:rPr>
              <w:t>Дистанционная явка</w:t>
            </w:r>
            <w:r/>
          </w:p>
        </w:tc>
        <w:tc>
          <w:tcPr>
            <w:tcW w:w="440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4" w:type="dxa"/>
            </w:tcMar>
          </w:tcPr>
          <w:p>
            <w:pPr>
              <w:pStyle w:val="Style12"/>
              <w:spacing w:before="0" w:after="140"/>
              <w:jc w:val="center"/>
              <w:rPr>
                <w:sz w:val="22"/>
                <w:sz w:val="22"/>
                <w:szCs w:val="22"/>
                <w:rFonts w:ascii="Times New Roman" w:hAnsi="Times New Roman" w:eastAsia="Times New Roman" w:cs="Times New Roman"/>
                <w:color w:val="00000A"/>
                <w:lang w:val="ru-RU" w:eastAsia="en-US" w:bidi="ar-SA"/>
              </w:rPr>
            </w:pPr>
            <w:r>
              <w:rPr>
                <w:lang w:val="ru-RU"/>
              </w:rPr>
              <w:t>ДЯ</w:t>
            </w:r>
            <w:r/>
          </w:p>
        </w:tc>
      </w:tr>
      <w:tr>
        <w:trPr/>
        <w:tc>
          <w:tcPr>
            <w:tcW w:w="440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4" w:type="dxa"/>
            </w:tcMar>
          </w:tcPr>
          <w:p>
            <w:pPr>
              <w:pStyle w:val="Style12"/>
              <w:spacing w:before="0" w:after="140"/>
              <w:jc w:val="center"/>
              <w:rPr>
                <w:sz w:val="22"/>
                <w:sz w:val="22"/>
                <w:szCs w:val="22"/>
                <w:rFonts w:ascii="Times New Roman" w:hAnsi="Times New Roman" w:eastAsia="Times New Roman" w:cs="Times New Roman"/>
                <w:color w:val="00000A"/>
                <w:lang w:val="en-US" w:eastAsia="en-US" w:bidi="ar-SA"/>
              </w:rPr>
            </w:pPr>
            <w:r>
              <w:rPr/>
              <w:t>Дополнительные выходные дни (оплачиваемые)</w:t>
            </w:r>
            <w:r/>
          </w:p>
        </w:tc>
        <w:tc>
          <w:tcPr>
            <w:tcW w:w="440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4" w:type="dxa"/>
            </w:tcMar>
          </w:tcPr>
          <w:p>
            <w:pPr>
              <w:pStyle w:val="Style12"/>
              <w:spacing w:before="0" w:after="140"/>
              <w:jc w:val="center"/>
              <w:rPr>
                <w:sz w:val="22"/>
                <w:sz w:val="22"/>
                <w:szCs w:val="22"/>
                <w:rFonts w:ascii="Times New Roman" w:hAnsi="Times New Roman" w:eastAsia="Times New Roman" w:cs="Times New Roman"/>
                <w:color w:val="00000A"/>
                <w:lang w:val="en-US" w:eastAsia="en-US" w:bidi="ar-SA"/>
              </w:rPr>
            </w:pPr>
            <w:r>
              <w:rPr/>
              <w:t>ОВ</w:t>
            </w:r>
            <w:r/>
          </w:p>
        </w:tc>
      </w:tr>
      <w:tr>
        <w:trPr/>
        <w:tc>
          <w:tcPr>
            <w:tcW w:w="440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4" w:type="dxa"/>
            </w:tcMar>
          </w:tcPr>
          <w:p>
            <w:pPr>
              <w:pStyle w:val="Style12"/>
              <w:jc w:val="center"/>
              <w:rPr>
                <w:sz w:val="22"/>
                <w:sz w:val="22"/>
                <w:szCs w:val="22"/>
                <w:rFonts w:ascii="Times New Roman" w:hAnsi="Times New Roman" w:eastAsia="Times New Roman" w:cs="Times New Roman"/>
                <w:color w:val="00000A"/>
                <w:lang w:val="en-US" w:eastAsia="en-US" w:bidi="ar-SA"/>
              </w:rPr>
            </w:pPr>
            <w:r>
              <w:rPr>
                <w:rFonts w:eastAsia="Times New Roman" w:cs="Times New Roman"/>
                <w:color w:val="00000A"/>
                <w:sz w:val="22"/>
                <w:szCs w:val="22"/>
                <w:lang w:val="en-US" w:eastAsia="en-US" w:bidi="ar-SA"/>
              </w:rPr>
            </w:r>
            <w:r/>
          </w:p>
          <w:p>
            <w:pPr>
              <w:pStyle w:val="Style12"/>
              <w:spacing w:before="0" w:after="140"/>
              <w:jc w:val="center"/>
              <w:rPr>
                <w:sz w:val="24"/>
                <w:sz w:val="24"/>
                <w:szCs w:val="24"/>
                <w:color w:val="000000"/>
                <w:lang w:val="ru-RU"/>
              </w:rPr>
            </w:pPr>
            <w:r>
              <w:rPr>
                <w:lang w:val="ru-RU"/>
              </w:rPr>
              <w:t>Дополнительный оплачиваемый выходной день для прохождения диспансеризации</w:t>
            </w:r>
            <w:r/>
          </w:p>
        </w:tc>
        <w:tc>
          <w:tcPr>
            <w:tcW w:w="440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4" w:type="dxa"/>
            </w:tcMar>
          </w:tcPr>
          <w:p>
            <w:pPr>
              <w:pStyle w:val="Style12"/>
              <w:spacing w:before="0" w:after="140"/>
              <w:jc w:val="center"/>
              <w:rPr>
                <w:sz w:val="22"/>
                <w:sz w:val="22"/>
                <w:szCs w:val="22"/>
                <w:rFonts w:ascii="Times New Roman" w:hAnsi="Times New Roman" w:eastAsia="Times New Roman" w:cs="Times New Roman"/>
                <w:color w:val="00000A"/>
                <w:lang w:val="en-US" w:eastAsia="en-US" w:bidi="ar-SA"/>
              </w:rPr>
            </w:pPr>
            <w:r>
              <w:rPr/>
              <w:t>Д</w:t>
            </w:r>
            <w:r/>
          </w:p>
        </w:tc>
      </w:tr>
    </w:tbl>
    <w:p>
      <w:pPr>
        <w:pStyle w:val="Style12"/>
        <w:jc w:val="both"/>
      </w:pPr>
      <w:r>
        <w:rPr>
          <w:lang w:val="ru-RU"/>
        </w:rPr>
        <w:t>Расширено применение буквенного кода «Г» – «Выполнение государственных обязанностей» – для случаев выполнения сотрудниками общественных обязанностей (например, для регистрации дней медицинского освидетельствования перед сдачей крови, дней сдачи крови, дней, когда сотрудник отсутствовал по вызову в военкомат на военные сборы, по вызову в суд,организация и проведение ЕГЭ и другие госорганы в качестве свидетеля и пр.).</w:t>
      </w:r>
      <w:r/>
    </w:p>
    <w:p>
      <w:pPr>
        <w:pStyle w:val="Style12"/>
        <w:jc w:val="both"/>
        <w:rPr>
          <w:sz w:val="24"/>
          <w:sz w:val="24"/>
          <w:szCs w:val="24"/>
          <w:color w:val="000000"/>
          <w:lang w:val="ru-RU"/>
        </w:rPr>
      </w:pPr>
      <w:r>
        <w:rPr>
          <w:lang w:val="ru-RU"/>
        </w:rPr>
        <w:t>11.4. Расчеты по заработной плате и другим выплатам оформляются путем формирования электронных списков на выплату заработной платы, подписанных электронно-цифровыми подписями в соответствии с заключенным договором на данные услуги с банковскими учреждением. Выплата заработной платы производится безналичным переводом на банковские карты сотрудников (вклад «Зарплатный»)</w:t>
      </w:r>
      <w:r/>
    </w:p>
    <w:p>
      <w:pPr>
        <w:pStyle w:val="Style12"/>
        <w:jc w:val="both"/>
        <w:rPr>
          <w:sz w:val="24"/>
          <w:sz w:val="24"/>
          <w:szCs w:val="24"/>
          <w:color w:val="000000"/>
          <w:lang w:val="ru-RU"/>
        </w:rPr>
      </w:pPr>
      <w:r>
        <w:rPr>
          <w:lang w:val="ru-RU"/>
        </w:rPr>
        <w:t>11.5. При временном переводе работников на удаленный режим работы обмен документами, которые оформляются в бумажном виде, разрешается осуществлять по электронной почте посредством скан-копий.</w:t>
      </w:r>
      <w:r/>
    </w:p>
    <w:p>
      <w:pPr>
        <w:pStyle w:val="Style12"/>
        <w:jc w:val="both"/>
        <w:rPr>
          <w:sz w:val="24"/>
          <w:sz w:val="24"/>
          <w:szCs w:val="24"/>
          <w:color w:val="000000"/>
          <w:lang w:val="ru-RU"/>
        </w:rPr>
      </w:pPr>
      <w:r>
        <w:rPr>
          <w:lang w:val="ru-RU"/>
        </w:rPr>
        <w:t>Скан-копия первичного документа изготавливается сотрудником, ответственным за факт хозяйственной жизни, в сроки, которые установлены графиком документооборота. Скан-копия направляется сотруднику, уполномоченному на согласование, в соответствии с графиком документооборота. Согласованием считается возврат электронного письма от получателя к отправителю со скан-копией подписанного документа.</w:t>
      </w:r>
      <w:r/>
    </w:p>
    <w:p>
      <w:pPr>
        <w:pStyle w:val="Style12"/>
        <w:jc w:val="both"/>
        <w:rPr>
          <w:sz w:val="24"/>
          <w:sz w:val="24"/>
          <w:szCs w:val="24"/>
          <w:color w:val="000000"/>
          <w:lang w:val="ru-RU"/>
        </w:rPr>
      </w:pPr>
      <w:r>
        <w:rPr>
          <w:lang w:val="ru-RU"/>
        </w:rPr>
        <w:t>После окончания режима удаленной работы первичные документы, оформленные посредством обмена скан-копий, распечатываются</w:t>
      </w:r>
      <w:r>
        <w:rPr/>
        <w:t> </w:t>
      </w:r>
      <w:r>
        <w:rPr>
          <w:lang w:val="ru-RU"/>
        </w:rPr>
        <w:t>на бумажном носителе и подписываются собственноручной подписью ответственных лиц.</w:t>
      </w:r>
      <w:r/>
    </w:p>
    <w:p>
      <w:pPr>
        <w:pStyle w:val="Style12"/>
        <w:jc w:val="both"/>
        <w:rPr>
          <w:sz w:val="24"/>
          <w:sz w:val="24"/>
          <w:szCs w:val="24"/>
          <w:color w:val="000000"/>
          <w:lang w:val="ru-RU"/>
        </w:rPr>
      </w:pPr>
      <w:r>
        <w:rPr>
          <w:b/>
          <w:bCs/>
        </w:rPr>
        <w:t>IV</w:t>
      </w:r>
      <w:r>
        <w:rPr>
          <w:b/>
          <w:bCs/>
          <w:lang w:val="ru-RU"/>
        </w:rPr>
        <w:t>. Методика ведения бухгалтерского учета</w:t>
      </w:r>
      <w:r/>
    </w:p>
    <w:p>
      <w:pPr>
        <w:pStyle w:val="Style12"/>
      </w:pPr>
      <w:r>
        <w:rPr>
          <w:lang w:val="ru-RU"/>
        </w:rPr>
        <w:t>1. Для случаев, которые не установлены в федеральных стандартах и других нормативно-правовых актах, регулирующих бухучет, метод определения справедливой стоимости выбирает комиссия учреждения по</w:t>
      </w:r>
      <w:r/>
    </w:p>
    <w:p>
      <w:pPr>
        <w:pStyle w:val="Style12"/>
      </w:pPr>
      <w:r>
        <w:rPr>
          <w:lang w:val="ru-RU"/>
        </w:rPr>
        <w:t>поступлениюи выбытию активов.</w:t>
        <w:br/>
        <w:t xml:space="preserve"> Основание: пункт 54 СГС «Концептуальные основы бухучета и отчетности».</w:t>
      </w:r>
      <w:r/>
    </w:p>
    <w:p>
      <w:pPr>
        <w:pStyle w:val="Style12"/>
      </w:pPr>
      <w:r>
        <w:rPr>
          <w:lang w:val="ru-RU"/>
        </w:rPr>
        <w:t>2. Основные средства</w:t>
      </w:r>
      <w:r/>
    </w:p>
    <w:p>
      <w:pPr>
        <w:pStyle w:val="Style12"/>
      </w:pPr>
      <w:r>
        <w:rPr>
          <w:lang w:val="ru-RU"/>
        </w:rPr>
        <w:t>2.1.</w:t>
      </w:r>
      <w:r>
        <w:rPr>
          <w:sz w:val="22"/>
          <w:szCs w:val="22"/>
          <w:lang w:val="ru-RU"/>
        </w:rPr>
        <w:t xml:space="preserve"> Принятие к бухгалтерскому учету основных средств осуществляется сотрудниками централизованной бухгалтерией на основании решения комиссии учреждения по поступлению и выбытию активов.</w:t>
      </w:r>
      <w:r>
        <w:rPr>
          <w:color w:val="000000"/>
          <w:sz w:val="22"/>
          <w:szCs w:val="22"/>
          <w:lang w:val="ru-RU"/>
        </w:rPr>
        <w:t xml:space="preserve"> </w:t>
      </w:r>
      <w:r>
        <w:rPr>
          <w:color w:val="000000"/>
          <w:sz w:val="22"/>
          <w:szCs w:val="22"/>
          <w:lang w:val="ru-RU"/>
        </w:rPr>
        <w:t>Приложение 9.</w:t>
      </w:r>
      <w:r/>
    </w:p>
    <w:p>
      <w:pPr>
        <w:pStyle w:val="Style12"/>
        <w:rPr>
          <w:sz w:val="24"/>
          <w:sz w:val="24"/>
          <w:szCs w:val="24"/>
          <w:color w:val="000000"/>
          <w:lang w:val="ru-RU"/>
        </w:rPr>
      </w:pPr>
      <w:r>
        <w:rPr>
          <w:lang w:val="ru-RU"/>
        </w:rPr>
        <w:t>2.2. В</w:t>
      </w:r>
      <w:r>
        <w:rPr/>
        <w:t> </w:t>
      </w:r>
      <w:r>
        <w:rPr>
          <w:lang w:val="ru-RU"/>
        </w:rPr>
        <w:t>составе основных средств учитываются материальные объекты имущества независимо от их стоимости, со сроком полезного использования более 12 месяцев, а также бесконтактные термометры, диспенсеры для антисептиков, штампы, печати и инвентарь.</w:t>
      </w:r>
      <w:r/>
    </w:p>
    <w:p>
      <w:pPr>
        <w:pStyle w:val="Style12"/>
        <w:rPr>
          <w:sz w:val="24"/>
          <w:sz w:val="24"/>
          <w:szCs w:val="24"/>
          <w:color w:val="000000"/>
          <w:lang w:val="ru-RU"/>
        </w:rPr>
      </w:pPr>
      <w:r>
        <w:rPr>
          <w:lang w:val="ru-RU"/>
        </w:rPr>
        <w:t>2.3. В один инвентарный объект, признаваемый комплексом объектов основных средств, объединяются объекты имущества несущественной стоимости, имеющие одинаковые сроки полезного и ожидаемого использования:</w:t>
      </w:r>
      <w:r/>
    </w:p>
    <w:p>
      <w:pPr>
        <w:pStyle w:val="Style12"/>
        <w:numPr>
          <w:ilvl w:val="0"/>
          <w:numId w:val="6"/>
        </w:numPr>
        <w:rPr>
          <w:sz w:val="24"/>
          <w:sz w:val="24"/>
          <w:szCs w:val="24"/>
          <w:color w:val="000000"/>
        </w:rPr>
      </w:pPr>
      <w:r>
        <w:rPr/>
        <w:t>объекты библиотечного фонда;</w:t>
      </w:r>
      <w:r/>
    </w:p>
    <w:p>
      <w:pPr>
        <w:pStyle w:val="Style12"/>
        <w:numPr>
          <w:ilvl w:val="0"/>
          <w:numId w:val="6"/>
        </w:numPr>
        <w:jc w:val="both"/>
        <w:rPr>
          <w:sz w:val="24"/>
          <w:sz w:val="24"/>
          <w:szCs w:val="24"/>
          <w:color w:val="000000"/>
          <w:lang w:val="ru-RU"/>
        </w:rPr>
      </w:pPr>
      <w:r>
        <w:rPr>
          <w:lang w:val="ru-RU"/>
        </w:rPr>
        <w:t>мебель для обстановки одного помещения: столы, стулья, стеллажи, шкафы, полки;</w:t>
      </w:r>
      <w:r/>
    </w:p>
    <w:p>
      <w:pPr>
        <w:pStyle w:val="Style12"/>
        <w:numPr>
          <w:ilvl w:val="0"/>
          <w:numId w:val="6"/>
        </w:numPr>
        <w:jc w:val="both"/>
        <w:rPr>
          <w:sz w:val="24"/>
          <w:sz w:val="24"/>
          <w:szCs w:val="24"/>
          <w:color w:val="000000"/>
          <w:lang w:val="ru-RU"/>
        </w:rPr>
      </w:pPr>
      <w:r>
        <w:rPr>
          <w:lang w:val="ru-RU"/>
        </w:rPr>
        <w:t>компьютерное и периферийное оборудование: системные блоки, мониторы, компьютерные мыши, клавиатуры, принтеры, сканеры, колонки, акустические системы, микрофоны, веб-камеры, устройства захвата видео, внешние ТВ-тюнеры, внешние накопители на жестких дисках;</w:t>
      </w:r>
      <w:r/>
    </w:p>
    <w:p>
      <w:pPr>
        <w:pStyle w:val="Style12"/>
        <w:jc w:val="both"/>
        <w:rPr>
          <w:sz w:val="24"/>
          <w:sz w:val="24"/>
          <w:szCs w:val="24"/>
          <w:color w:val="000000"/>
          <w:lang w:val="ru-RU"/>
        </w:rPr>
      </w:pPr>
      <w:r>
        <w:rPr>
          <w:lang w:val="ru-RU"/>
        </w:rPr>
        <w:t>Не считается существенной стоимость до 20 000 руб. за один имущественный объект. Необходимость объединения и конкретный перечень объединяемых объектов определяет комиссия учреждения по поступлению и выбытию активов.</w:t>
        <w:br/>
        <w:t xml:space="preserve"> Основание: пункт 10 СГС «Основные средства».</w:t>
      </w:r>
      <w:r/>
    </w:p>
    <w:p>
      <w:pPr>
        <w:pStyle w:val="Style12"/>
        <w:jc w:val="both"/>
        <w:rPr>
          <w:sz w:val="24"/>
          <w:sz w:val="24"/>
          <w:szCs w:val="24"/>
          <w:color w:val="000000"/>
          <w:lang w:val="ru-RU"/>
        </w:rPr>
      </w:pPr>
      <w:r>
        <w:rPr>
          <w:lang w:val="ru-RU"/>
        </w:rPr>
        <w:t>2.4. При наличии в документах поставщика информации о стоимости составных частей объекта основных средств</w:t>
      </w:r>
      <w:r>
        <w:rPr/>
        <w:t> </w:t>
      </w:r>
      <w:r>
        <w:rPr>
          <w:lang w:val="ru-RU"/>
        </w:rPr>
        <w:t>такая информация отражается в Инвентарной карточке учета нефинансовых активов (ф. 0504031).</w:t>
      </w:r>
      <w:r/>
    </w:p>
    <w:p>
      <w:pPr>
        <w:pStyle w:val="Style12"/>
        <w:jc w:val="both"/>
      </w:pPr>
      <w:r>
        <w:rPr>
          <w:lang w:val="ru-RU"/>
        </w:rPr>
        <w:t>2.5. Каждому инвентарному объекту основных средств в момент принятия к бухгалтерскому</w:t>
      </w:r>
      <w:r>
        <w:rPr/>
        <w:t> </w:t>
      </w:r>
      <w:r>
        <w:rPr>
          <w:lang w:val="ru-RU"/>
        </w:rPr>
        <w:t>учету присваивается уникальный</w:t>
      </w:r>
      <w:r>
        <w:rPr/>
        <w:t> </w:t>
      </w:r>
      <w:r>
        <w:rPr>
          <w:lang w:val="ru-RU"/>
        </w:rPr>
        <w:t>инвентарный номер, который состоит из 12</w:t>
      </w:r>
      <w:r>
        <w:rPr/>
        <w:t> </w:t>
      </w:r>
      <w:r>
        <w:rPr>
          <w:lang w:val="ru-RU"/>
        </w:rPr>
        <w:t>знаков:</w:t>
      </w:r>
      <w:r/>
    </w:p>
    <w:p>
      <w:pPr>
        <w:pStyle w:val="Style12"/>
      </w:pPr>
      <w:r>
        <w:rPr>
          <w:lang w:val="ru-RU"/>
        </w:rPr>
        <w:t>1- й знак  - код вида финансового обеспечения;</w:t>
        <w:br/>
        <w:t xml:space="preserve"> 2-4 й знаки — коды синтетического счета;</w:t>
      </w:r>
      <w:r/>
    </w:p>
    <w:p>
      <w:pPr>
        <w:pStyle w:val="Style12"/>
        <w:jc w:val="both"/>
      </w:pPr>
      <w:r>
        <w:rPr>
          <w:lang w:val="ru-RU"/>
        </w:rPr>
        <w:t>5-6 й знаки -коды аналитического счета;</w:t>
      </w:r>
      <w:r/>
    </w:p>
    <w:p>
      <w:pPr>
        <w:pStyle w:val="Style12"/>
        <w:jc w:val="both"/>
      </w:pPr>
      <w:bookmarkStart w:id="1" w:name="__DdeLink__815_815744068"/>
      <w:bookmarkEnd w:id="1"/>
      <w:r>
        <w:rPr>
          <w:lang w:val="ru-RU"/>
        </w:rPr>
        <w:t>7-12 й знаки- порядковый номер объекта в группе (000001-999999)</w:t>
      </w:r>
      <w:r/>
    </w:p>
    <w:p>
      <w:pPr>
        <w:pStyle w:val="Style12"/>
        <w:jc w:val="both"/>
        <w:rPr>
          <w:sz w:val="24"/>
          <w:sz w:val="24"/>
          <w:szCs w:val="24"/>
          <w:color w:val="000000"/>
          <w:lang w:val="ru-RU"/>
        </w:rPr>
      </w:pPr>
      <w:r>
        <w:rPr>
          <w:lang w:val="ru-RU"/>
        </w:rPr>
        <w:t>Основание: пункт 9 СГС «Основные средства», пункт 46 Инструкции к Единому плану счетов № 157н.</w:t>
      </w:r>
      <w:r/>
    </w:p>
    <w:p>
      <w:pPr>
        <w:pStyle w:val="Style12"/>
        <w:jc w:val="both"/>
        <w:rPr>
          <w:sz w:val="24"/>
          <w:sz w:val="24"/>
          <w:szCs w:val="24"/>
          <w:color w:val="000000"/>
          <w:lang w:val="ru-RU"/>
        </w:rPr>
      </w:pPr>
      <w:r>
        <w:rPr>
          <w:lang w:val="ru-RU"/>
        </w:rPr>
        <w:t>Инвентарные номера объектов основных средств, принятых к бухгалтерскому учету до передачи централизуемых полномочий учреждений, после миграции базы данных не изменяются.</w:t>
      </w:r>
      <w:r/>
    </w:p>
    <w:p>
      <w:pPr>
        <w:pStyle w:val="Style12"/>
        <w:jc w:val="both"/>
        <w:rPr>
          <w:sz w:val="24"/>
          <w:sz w:val="24"/>
          <w:szCs w:val="24"/>
          <w:color w:val="000000"/>
          <w:lang w:val="ru-RU"/>
        </w:rPr>
      </w:pPr>
      <w:r>
        <w:rPr>
          <w:lang w:val="ru-RU"/>
        </w:rPr>
        <w:t>2.6.</w:t>
      </w:r>
      <w:r>
        <w:rPr/>
        <w:t> </w:t>
      </w:r>
      <w:r>
        <w:rPr>
          <w:lang w:val="ru-RU"/>
        </w:rPr>
        <w:t>Присвоенный объекту инвентарный номер обозначается ответственным сотрудником учреждения путем нанесения номера на инвентарный объект краской или водостойким маркером. В случае если объект является сложным (комплексом конструктивно-сочлененных предметов), инвентарный номер обозначается на каждом составляющем элементе тем же способом, что и на сложном объекте.</w:t>
      </w:r>
      <w:r/>
    </w:p>
    <w:p>
      <w:pPr>
        <w:pStyle w:val="Style12"/>
        <w:jc w:val="both"/>
        <w:rPr>
          <w:sz w:val="24"/>
          <w:sz w:val="24"/>
          <w:szCs w:val="24"/>
          <w:color w:val="000000"/>
        </w:rPr>
      </w:pPr>
      <w:r>
        <w:rPr>
          <w:lang w:val="ru-RU"/>
        </w:rPr>
        <w:t>2.7. Затраты по замене отдельных составных частей</w:t>
      </w:r>
      <w:r>
        <w:rPr/>
        <w:t> </w:t>
      </w:r>
      <w:r>
        <w:rPr>
          <w:lang w:val="ru-RU"/>
        </w:rPr>
        <w:t>комплекса</w:t>
      </w:r>
      <w:r>
        <w:rPr/>
        <w:t> </w:t>
      </w:r>
      <w:r>
        <w:rPr>
          <w:lang w:val="ru-RU"/>
        </w:rPr>
        <w:t>конструктивно-сочлененных предметов, в том числе при капитальном ремонте, включаются в момент их возникновения в стоимость объекта. Одновременно с его стоимости списывается в текущие расходы стоимость</w:t>
      </w:r>
      <w:r>
        <w:rPr/>
        <w:t> </w:t>
      </w:r>
      <w:r>
        <w:rPr>
          <w:lang w:val="ru-RU"/>
        </w:rPr>
        <w:t xml:space="preserve">заменяемых (выбываемых) составных частей. </w:t>
      </w:r>
      <w:r>
        <w:rPr/>
        <w:t>Данное правило применяется к следующим группам основных средств:</w:t>
      </w:r>
      <w:r/>
    </w:p>
    <w:p>
      <w:pPr>
        <w:pStyle w:val="Style12"/>
        <w:numPr>
          <w:ilvl w:val="0"/>
          <w:numId w:val="7"/>
        </w:numPr>
        <w:jc w:val="both"/>
        <w:rPr>
          <w:sz w:val="24"/>
          <w:sz w:val="24"/>
          <w:szCs w:val="24"/>
          <w:color w:val="000000"/>
        </w:rPr>
      </w:pPr>
      <w:r>
        <w:rPr/>
        <w:t>машины и оборудование;</w:t>
      </w:r>
      <w:r/>
    </w:p>
    <w:p>
      <w:pPr>
        <w:pStyle w:val="Style12"/>
        <w:numPr>
          <w:ilvl w:val="0"/>
          <w:numId w:val="7"/>
        </w:numPr>
        <w:jc w:val="both"/>
        <w:rPr>
          <w:sz w:val="24"/>
          <w:sz w:val="24"/>
          <w:szCs w:val="24"/>
          <w:color w:val="000000"/>
        </w:rPr>
      </w:pPr>
      <w:r>
        <w:rPr/>
        <w:t>транспортные средства;</w:t>
      </w:r>
      <w:r/>
    </w:p>
    <w:p>
      <w:pPr>
        <w:pStyle w:val="Style12"/>
        <w:numPr>
          <w:ilvl w:val="0"/>
          <w:numId w:val="7"/>
        </w:numPr>
        <w:jc w:val="both"/>
        <w:rPr>
          <w:sz w:val="24"/>
          <w:sz w:val="24"/>
          <w:szCs w:val="24"/>
          <w:color w:val="000000"/>
        </w:rPr>
      </w:pPr>
      <w:r>
        <w:rPr/>
        <w:t>инвентарь производственный и хозяйственный;</w:t>
      </w:r>
      <w:r/>
    </w:p>
    <w:p>
      <w:pPr>
        <w:pStyle w:val="Style12"/>
        <w:numPr>
          <w:ilvl w:val="0"/>
          <w:numId w:val="7"/>
        </w:numPr>
        <w:jc w:val="both"/>
        <w:rPr>
          <w:sz w:val="24"/>
          <w:sz w:val="24"/>
          <w:szCs w:val="24"/>
          <w:color w:val="000000"/>
        </w:rPr>
      </w:pPr>
      <w:r>
        <w:rPr/>
        <w:t>многолетние насаждения;</w:t>
      </w:r>
      <w:r/>
    </w:p>
    <w:p>
      <w:pPr>
        <w:pStyle w:val="Style12"/>
        <w:jc w:val="both"/>
        <w:rPr>
          <w:sz w:val="24"/>
          <w:sz w:val="24"/>
          <w:szCs w:val="24"/>
          <w:color w:val="000000"/>
          <w:lang w:val="ru-RU"/>
        </w:rPr>
      </w:pPr>
      <w:r>
        <w:rPr>
          <w:lang w:val="ru-RU"/>
        </w:rPr>
        <w:t>Основание: пункт 27 СГС «Основные средства».</w:t>
      </w:r>
      <w:r/>
    </w:p>
    <w:p>
      <w:pPr>
        <w:pStyle w:val="Style12"/>
        <w:jc w:val="both"/>
        <w:rPr>
          <w:sz w:val="24"/>
          <w:sz w:val="24"/>
          <w:szCs w:val="24"/>
          <w:color w:val="000000"/>
        </w:rPr>
      </w:pPr>
      <w:r>
        <w:rPr>
          <w:lang w:val="ru-RU"/>
        </w:rPr>
        <w:t xml:space="preserve">2.8. В случае частичной ликвидации или разукомплектации объекта основного средства, если стоимость ликвидируемых (разукомплектованных) частей не выделена в документах поставщика, стоимость таких частей определяется пропорционально следующему показателю </w:t>
      </w:r>
      <w:r>
        <w:rPr/>
        <w:t>(в порядке убывания важности):</w:t>
      </w:r>
      <w:r/>
    </w:p>
    <w:p>
      <w:pPr>
        <w:pStyle w:val="Style12"/>
        <w:numPr>
          <w:ilvl w:val="0"/>
          <w:numId w:val="8"/>
        </w:numPr>
        <w:jc w:val="both"/>
        <w:rPr>
          <w:sz w:val="24"/>
          <w:sz w:val="24"/>
          <w:szCs w:val="24"/>
          <w:color w:val="000000"/>
        </w:rPr>
      </w:pPr>
      <w:r>
        <w:rPr/>
        <w:t>площади;</w:t>
      </w:r>
      <w:r/>
    </w:p>
    <w:p>
      <w:pPr>
        <w:pStyle w:val="Style12"/>
        <w:numPr>
          <w:ilvl w:val="0"/>
          <w:numId w:val="8"/>
        </w:numPr>
        <w:jc w:val="both"/>
        <w:rPr>
          <w:sz w:val="24"/>
          <w:sz w:val="24"/>
          <w:szCs w:val="24"/>
          <w:color w:val="000000"/>
        </w:rPr>
      </w:pPr>
      <w:r>
        <w:rPr/>
        <w:t>объему;</w:t>
      </w:r>
      <w:r/>
    </w:p>
    <w:p>
      <w:pPr>
        <w:pStyle w:val="Style12"/>
        <w:numPr>
          <w:ilvl w:val="0"/>
          <w:numId w:val="8"/>
        </w:numPr>
        <w:jc w:val="both"/>
        <w:rPr>
          <w:sz w:val="24"/>
          <w:sz w:val="24"/>
          <w:szCs w:val="24"/>
          <w:color w:val="000000"/>
          <w:lang w:val="ru-RU"/>
        </w:rPr>
      </w:pPr>
      <w:r>
        <w:rPr>
          <w:lang w:val="ru-RU"/>
        </w:rPr>
        <w:t>иному показателю, установленному комиссией по поступлению и выбытию активов.</w:t>
      </w:r>
      <w:r/>
    </w:p>
    <w:p>
      <w:pPr>
        <w:pStyle w:val="Style12"/>
        <w:jc w:val="both"/>
        <w:rPr>
          <w:sz w:val="24"/>
          <w:sz w:val="24"/>
          <w:szCs w:val="24"/>
          <w:color w:val="000000"/>
        </w:rPr>
      </w:pPr>
      <w:r>
        <w:rPr>
          <w:lang w:val="ru-RU"/>
        </w:rPr>
        <w:t>2.9. Затраты на создание активов при проведении регулярных осмотров на предмет наличия дефектов, являющихся обязательным условием их эксплуатации, а также при проведении ремонтов (модернизаций, дооборудований, реконструкций, в том числе с элементами реставраций, технических перевооружений) формируют объем капитальных вложений с дальнейшим признанием в стоимости объекта основных средств. Одновременно учтенная ранее в стоимости объекта</w:t>
      </w:r>
      <w:r>
        <w:rPr/>
        <w:t> </w:t>
      </w:r>
      <w:r>
        <w:rPr>
          <w:lang w:val="ru-RU"/>
        </w:rPr>
        <w:t>сумма затрат на проведение аналогичного мероприятия списывается</w:t>
      </w:r>
      <w:r>
        <w:rPr/>
        <w:t> </w:t>
      </w:r>
      <w:r>
        <w:rPr>
          <w:lang w:val="ru-RU"/>
        </w:rPr>
        <w:t xml:space="preserve">в расходы текущего периода с учетом накопленной амортизации. </w:t>
      </w:r>
      <w:r>
        <w:rPr/>
        <w:t>Данное правило применяется к следующим группам основных средств:</w:t>
      </w:r>
      <w:r/>
    </w:p>
    <w:p>
      <w:pPr>
        <w:pStyle w:val="Style12"/>
        <w:numPr>
          <w:ilvl w:val="0"/>
          <w:numId w:val="9"/>
        </w:numPr>
        <w:jc w:val="both"/>
        <w:rPr>
          <w:sz w:val="24"/>
          <w:sz w:val="24"/>
          <w:szCs w:val="24"/>
          <w:color w:val="000000"/>
          <w:lang w:val="ru-RU"/>
        </w:rPr>
      </w:pPr>
      <w:r>
        <w:rPr>
          <w:lang w:val="ru-RU"/>
        </w:rPr>
        <w:t>нежилые помещения (здания и сооружения);</w:t>
      </w:r>
      <w:r/>
    </w:p>
    <w:p>
      <w:pPr>
        <w:pStyle w:val="Style12"/>
        <w:numPr>
          <w:ilvl w:val="0"/>
          <w:numId w:val="9"/>
        </w:numPr>
        <w:jc w:val="both"/>
        <w:rPr>
          <w:sz w:val="24"/>
          <w:sz w:val="24"/>
          <w:szCs w:val="24"/>
          <w:color w:val="000000"/>
        </w:rPr>
      </w:pPr>
      <w:r>
        <w:rPr/>
        <w:t>машины и оборудование;</w:t>
      </w:r>
      <w:r/>
    </w:p>
    <w:p>
      <w:pPr>
        <w:pStyle w:val="Style12"/>
        <w:numPr>
          <w:ilvl w:val="0"/>
          <w:numId w:val="9"/>
        </w:numPr>
        <w:jc w:val="both"/>
        <w:rPr>
          <w:sz w:val="24"/>
          <w:sz w:val="24"/>
          <w:szCs w:val="24"/>
          <w:color w:val="000000"/>
        </w:rPr>
      </w:pPr>
      <w:r>
        <w:rPr/>
        <w:t>транспортные средства;</w:t>
      </w:r>
      <w:r/>
    </w:p>
    <w:p>
      <w:pPr>
        <w:pStyle w:val="Style12"/>
        <w:jc w:val="both"/>
        <w:rPr>
          <w:sz w:val="24"/>
          <w:sz w:val="24"/>
          <w:szCs w:val="24"/>
          <w:color w:val="000000"/>
          <w:lang w:val="ru-RU"/>
        </w:rPr>
      </w:pPr>
      <w:r>
        <w:rPr>
          <w:lang w:val="ru-RU"/>
        </w:rPr>
        <w:t>Основание: пункт 28 СГС «Основные средства».</w:t>
      </w:r>
      <w:r/>
    </w:p>
    <w:p>
      <w:pPr>
        <w:pStyle w:val="Style12"/>
        <w:jc w:val="both"/>
        <w:rPr>
          <w:sz w:val="24"/>
          <w:sz w:val="24"/>
          <w:szCs w:val="24"/>
          <w:color w:val="000000"/>
          <w:lang w:val="ru-RU"/>
        </w:rPr>
      </w:pPr>
      <w:r>
        <w:rPr>
          <w:lang w:val="ru-RU"/>
        </w:rPr>
        <w:t>2.10. Начисление амортизации осуществляется следующим образом:</w:t>
      </w:r>
      <w:r/>
    </w:p>
    <w:p>
      <w:pPr>
        <w:pStyle w:val="Style12"/>
        <w:jc w:val="both"/>
      </w:pPr>
      <w:r>
        <w:rPr>
          <w:lang w:val="ru-RU"/>
        </w:rPr>
        <w:t xml:space="preserve">– </w:t>
      </w:r>
      <w:r>
        <w:rPr>
          <w:lang w:val="ru-RU"/>
        </w:rPr>
        <w:t>методом уменьшаемого остатка с применением коэффициента 2 – на основные средства группы «Транспортные средства», а также на компьютерное оборудование и сотовые телефоны;</w:t>
        <w:br/>
        <w:t>–линейным методом – на остальные объекты основных средств.</w:t>
        <w:br/>
        <w:t xml:space="preserve"> Основание: пункты 36, 37 СГС «Основные средства».</w:t>
      </w:r>
      <w:r/>
    </w:p>
    <w:p>
      <w:pPr>
        <w:pStyle w:val="Style12"/>
        <w:jc w:val="both"/>
        <w:rPr>
          <w:sz w:val="24"/>
          <w:sz w:val="24"/>
          <w:szCs w:val="24"/>
          <w:color w:val="000000"/>
          <w:lang w:val="ru-RU"/>
        </w:rPr>
      </w:pPr>
      <w:r>
        <w:rPr>
          <w:lang w:val="ru-RU"/>
        </w:rPr>
        <w:t>2.11. В случаях, когда установлены одинаковые сроки полезного использования и метод расчета амортизации всех структурных частей единого объекта основных средств, учреждение объединяет такие части для определения суммы амортизации.</w:t>
        <w:br/>
        <w:t xml:space="preserve"> Основание: пункт 40 СГС «Основные средства».</w:t>
      </w:r>
      <w:r/>
    </w:p>
    <w:p>
      <w:pPr>
        <w:pStyle w:val="Style12"/>
        <w:jc w:val="both"/>
        <w:rPr>
          <w:sz w:val="24"/>
          <w:sz w:val="24"/>
          <w:szCs w:val="24"/>
          <w:color w:val="000000"/>
          <w:lang w:val="ru-RU"/>
        </w:rPr>
      </w:pPr>
      <w:r>
        <w:rPr>
          <w:lang w:val="ru-RU"/>
        </w:rPr>
        <w:t>2.12. При переоценке объекта основных средств накопленная амортизация на дату переоценки пересчитывается пропорционально изменению первоначальной стоимости объекта таким образом, чтобы его остаточная стоимость после переоценки равнялась его переоцененной стоимости. При этом балансовая стоимость и накопленная амортизация увеличиваются (умножаются) на одинаковый коэффициент таким образом, чтобы при их суммировании получить переоцененную стоимость на дату проведения переоценки.</w:t>
        <w:br/>
        <w:t xml:space="preserve"> Основание: пункт 41 СГС «Основные средства».</w:t>
      </w:r>
      <w:r/>
    </w:p>
    <w:p>
      <w:pPr>
        <w:pStyle w:val="Style12"/>
        <w:jc w:val="both"/>
        <w:rPr>
          <w:sz w:val="24"/>
          <w:sz w:val="24"/>
          <w:szCs w:val="24"/>
          <w:color w:val="000000"/>
          <w:lang w:val="ru-RU"/>
        </w:rPr>
      </w:pPr>
      <w:r>
        <w:rPr>
          <w:lang w:val="ru-RU"/>
        </w:rPr>
        <w:t>2.13. Срок полезного использования объектов основных средств устанавливает комиссия по поступлению и выбытию в соответствии с пунктом 35 СГС «Основные средства».</w:t>
      </w:r>
      <w:r/>
    </w:p>
    <w:p>
      <w:pPr>
        <w:pStyle w:val="Style12"/>
        <w:jc w:val="both"/>
      </w:pPr>
      <w:r>
        <w:rPr>
          <w:lang w:val="ru-RU"/>
        </w:rPr>
        <w:t>2.14. В соответствии с Постановлением администрации муниципального образования Кавказский район от 01.11.2010 года № 1000 «О порядке определения видов особого ценного движимого имущества автономного или бюджетного учреждения муниципального образования Кавказский район и перечней особо ценного движимого имущества автономного учреждения муниципального образования Кавказский район, приказом управления образования администрации муниципального образования Кавказский район от 28 июня 2018 года № 668/1 утверждены виды ОЦДИ муниципальных бюджетных учреждений, осуществляющих свою деятельность в сфере образования. Имущество бюджетных и автономных учреждений, относящееся к категории особо ценного имущества (ОЦИ), определяет комиссия по поступлению и выбытию нефинансовых активов учреждения. Такое имущество принимается к учету на основании выписки из протокола комиссии.</w:t>
      </w:r>
      <w:r/>
    </w:p>
    <w:p>
      <w:pPr>
        <w:pStyle w:val="Style12"/>
        <w:jc w:val="both"/>
        <w:rPr>
          <w:sz w:val="24"/>
          <w:sz w:val="24"/>
          <w:szCs w:val="24"/>
          <w:color w:val="000000"/>
          <w:lang w:val="ru-RU"/>
        </w:rPr>
      </w:pPr>
      <w:r>
        <w:rPr>
          <w:lang w:val="ru-RU"/>
        </w:rPr>
        <w:t>2.15. Основные средства стоимостью до 10 000 руб. включительно, находящиеся в эксплуатации, учитываются на забалансовом счете 21</w:t>
      </w:r>
      <w:r>
        <w:rPr/>
        <w:t> </w:t>
      </w:r>
      <w:r>
        <w:rPr>
          <w:lang w:val="ru-RU"/>
        </w:rPr>
        <w:t>по балансовой стоимости.</w:t>
        <w:br/>
        <w:t xml:space="preserve"> Основание: пункт 39 СГС «Основные средства», пункт 373 Инструкции к Единому плану счетов № 157н.</w:t>
      </w:r>
      <w:r/>
    </w:p>
    <w:p>
      <w:pPr>
        <w:pStyle w:val="Style12"/>
        <w:jc w:val="both"/>
        <w:rPr>
          <w:sz w:val="24"/>
          <w:sz w:val="24"/>
          <w:szCs w:val="24"/>
          <w:color w:val="000000"/>
          <w:lang w:val="ru-RU"/>
        </w:rPr>
      </w:pPr>
      <w:r>
        <w:rPr>
          <w:lang w:val="ru-RU"/>
        </w:rPr>
        <w:t>2.16. При приобретении и (или) создании основных средств за счет средств, полученных по разным видам деятельности, сумма вложений, сформированных на счете КБК Х.106.00.000, переводится на код вида деятельности 4 «субсидии на выполнение государственного (муниципального) задания».</w:t>
      </w:r>
      <w:r/>
    </w:p>
    <w:p>
      <w:pPr>
        <w:pStyle w:val="Style12"/>
        <w:jc w:val="both"/>
        <w:rPr>
          <w:sz w:val="24"/>
          <w:sz w:val="24"/>
          <w:szCs w:val="24"/>
          <w:color w:val="000000"/>
          <w:lang w:val="ru-RU"/>
        </w:rPr>
      </w:pPr>
      <w:r>
        <w:rPr>
          <w:lang w:val="ru-RU"/>
        </w:rPr>
        <w:t>2.17. При принятии учредителем решения о выделении средств субсидии бюджетному или автономному учреждению на финансовое обеспечение выполнения государственного задания на содержание объекта основных средств, который ранее приобретен (создан) учреждением за счет средств от приносящей доход деятельности, стоимость этого объекта переводится с кода вида деятельности «2» на код вида деятельности «4». Одновременно переводится сумма начисленной амортизации.</w:t>
      </w:r>
      <w:r/>
    </w:p>
    <w:p>
      <w:pPr>
        <w:pStyle w:val="Style12"/>
        <w:jc w:val="both"/>
        <w:rPr>
          <w:sz w:val="24"/>
          <w:sz w:val="24"/>
          <w:szCs w:val="24"/>
          <w:color w:val="000000"/>
          <w:lang w:val="ru-RU"/>
        </w:rPr>
      </w:pPr>
      <w:r>
        <w:rPr>
          <w:lang w:val="ru-RU"/>
        </w:rPr>
        <w:t xml:space="preserve">2.18. Локально-вычислительная сеть (ЛВС) и охранно-пожарная сигнализация (ОПС) как отдельные инвентарные объекты не учитываются. Отдельные элементы ЛВС и ОПС, которые соответствуют критериям основных средств, установленным СГС «Основные средства», учитываются как отдельные основные средства. Элементы ЛВС или ОПС, для которых установлен одинаковый срок полезного использования, учитываются как единый инвентарный объект в порядке, установленном в пункте 2.2 раздела </w:t>
      </w:r>
      <w:r>
        <w:rPr/>
        <w:t>V</w:t>
      </w:r>
      <w:r>
        <w:rPr>
          <w:lang w:val="ru-RU"/>
        </w:rPr>
        <w:t xml:space="preserve"> настоящей учетной политики.</w:t>
      </w:r>
      <w:r/>
    </w:p>
    <w:p>
      <w:pPr>
        <w:pStyle w:val="Style12"/>
        <w:jc w:val="both"/>
        <w:rPr>
          <w:sz w:val="24"/>
          <w:sz w:val="24"/>
          <w:szCs w:val="24"/>
          <w:color w:val="000000"/>
          <w:lang w:val="ru-RU"/>
        </w:rPr>
      </w:pPr>
      <w:r>
        <w:rPr>
          <w:lang w:val="ru-RU"/>
        </w:rPr>
        <w:t>2.19. Расходы на доставку нескольких имущественных объектов распределяются в первоначальную стоимость этих объектов пропорционально их стоимости, указанной в договоре поставки.</w:t>
      </w:r>
      <w:r/>
    </w:p>
    <w:p>
      <w:pPr>
        <w:pStyle w:val="Style12"/>
        <w:jc w:val="both"/>
      </w:pPr>
      <w:r>
        <w:rPr>
          <w:lang w:val="ru-RU"/>
        </w:rPr>
        <w:t>3. Нематериальные активы</w:t>
      </w:r>
      <w:r/>
    </w:p>
    <w:p>
      <w:pPr>
        <w:pStyle w:val="Style12"/>
        <w:jc w:val="both"/>
      </w:pPr>
      <w:r>
        <w:rPr>
          <w:lang w:val="ru-RU"/>
        </w:rPr>
        <w:t>3.1. Принятие к бухгалтерскому учету нематериальных активов осуществляется централизованной бухгалтерией на основании решения комиссии учреждения по поступлению и выбытию активов с указанием:</w:t>
      </w:r>
      <w:r/>
    </w:p>
    <w:p>
      <w:pPr>
        <w:pStyle w:val="Style12"/>
      </w:pPr>
      <w:r>
        <w:rPr>
          <w:lang w:val="ru-RU"/>
        </w:rPr>
        <w:t>–</w:t>
      </w:r>
      <w:r>
        <w:rPr>
          <w:lang w:val="ru-RU"/>
        </w:rPr>
        <w:t>стоимости нематериального актива;</w:t>
        <w:br/>
        <w:t xml:space="preserve"> – срока полезного использования актива</w:t>
      </w:r>
      <w:r>
        <w:rPr/>
        <w:t> </w:t>
      </w:r>
      <w:r>
        <w:rPr>
          <w:lang w:val="ru-RU"/>
        </w:rPr>
        <w:t>либо информации о том, что срок не определен.</w:t>
      </w:r>
      <w:r/>
    </w:p>
    <w:p>
      <w:pPr>
        <w:pStyle w:val="Style12"/>
        <w:jc w:val="both"/>
      </w:pPr>
      <w:r>
        <w:rPr>
          <w:lang w:val="ru-RU"/>
        </w:rPr>
        <w:t>3.2. Каждому инвентарному объекту нематериальных активов в момент принятия к бухгалтерскому учету присваивается уникальный инвентарный номер, который состоит из 12</w:t>
      </w:r>
      <w:r>
        <w:rPr/>
        <w:t> </w:t>
      </w:r>
      <w:r>
        <w:rPr>
          <w:lang w:val="ru-RU"/>
        </w:rPr>
        <w:t>знаков:</w:t>
      </w:r>
      <w:r/>
    </w:p>
    <w:p>
      <w:pPr>
        <w:pStyle w:val="Style12"/>
      </w:pPr>
      <w:r>
        <w:rPr>
          <w:lang w:val="ru-RU"/>
        </w:rPr>
        <w:t>1- й знак  - код вида финансового обеспечения;</w:t>
        <w:br/>
        <w:t xml:space="preserve"> 2-4 й знаки — коды синтетического счета;</w:t>
      </w:r>
      <w:r/>
    </w:p>
    <w:p>
      <w:pPr>
        <w:pStyle w:val="Style12"/>
        <w:jc w:val="both"/>
      </w:pPr>
      <w:r>
        <w:rPr>
          <w:lang w:val="ru-RU"/>
        </w:rPr>
        <w:t>5-6 й знаки -коды аналитического счета;</w:t>
      </w:r>
      <w:r/>
    </w:p>
    <w:p>
      <w:pPr>
        <w:pStyle w:val="Style12"/>
        <w:jc w:val="both"/>
      </w:pPr>
      <w:r>
        <w:rPr>
          <w:lang w:val="ru-RU"/>
        </w:rPr>
        <w:t>7-12 й знаки- порядковый номер нематериального актива</w:t>
      </w:r>
      <w:r/>
    </w:p>
    <w:p>
      <w:pPr>
        <w:pStyle w:val="Style12"/>
        <w:jc w:val="both"/>
        <w:rPr>
          <w:sz w:val="24"/>
          <w:sz w:val="24"/>
          <w:szCs w:val="24"/>
          <w:color w:val="000000"/>
          <w:lang w:val="ru-RU"/>
        </w:rPr>
      </w:pPr>
      <w:r>
        <w:rPr>
          <w:lang w:val="ru-RU"/>
        </w:rPr>
        <w:t>Основание: пункт 46 Инструкции к Единому плану счетов № 157н.</w:t>
      </w:r>
      <w:r/>
    </w:p>
    <w:p>
      <w:pPr>
        <w:pStyle w:val="Style12"/>
        <w:jc w:val="both"/>
        <w:rPr>
          <w:sz w:val="24"/>
          <w:sz w:val="24"/>
          <w:szCs w:val="24"/>
          <w:color w:val="000000"/>
          <w:lang w:val="ru-RU"/>
        </w:rPr>
      </w:pPr>
      <w:r>
        <w:rPr>
          <w:lang w:val="ru-RU"/>
        </w:rPr>
        <w:t>Инвентарные номера объектов нематериальных, принятых к бухгалтерскому учету до передачи централизуемых полномочий учреждений, после миграции базы данных не изменяются.</w:t>
      </w:r>
      <w:r/>
    </w:p>
    <w:p>
      <w:pPr>
        <w:pStyle w:val="Style12"/>
        <w:jc w:val="both"/>
        <w:rPr>
          <w:sz w:val="24"/>
          <w:sz w:val="24"/>
          <w:szCs w:val="24"/>
          <w:color w:val="000000"/>
          <w:lang w:val="ru-RU"/>
        </w:rPr>
      </w:pPr>
      <w:r>
        <w:rPr>
          <w:lang w:val="ru-RU"/>
        </w:rPr>
        <w:t>3.3. Начисление амортизации на объекты нематериальных активов осуществляется следующим образом:</w:t>
      </w:r>
      <w:r/>
    </w:p>
    <w:p>
      <w:pPr>
        <w:pStyle w:val="Style12"/>
        <w:jc w:val="both"/>
      </w:pPr>
      <w:r>
        <w:rPr>
          <w:lang w:val="ru-RU"/>
        </w:rPr>
        <w:t xml:space="preserve"> – </w:t>
      </w:r>
      <w:r>
        <w:rPr>
          <w:lang w:val="ru-RU"/>
        </w:rPr>
        <w:t>линейным методом – на остальные объекты нематериальных активов.</w:t>
        <w:br/>
        <w:t xml:space="preserve"> Основание: пункты 30, 31</w:t>
      </w:r>
      <w:r>
        <w:rPr/>
        <w:t> </w:t>
      </w:r>
      <w:r>
        <w:rPr>
          <w:lang w:val="ru-RU"/>
        </w:rPr>
        <w:t>СГС «Нематериальные активы».</w:t>
      </w:r>
      <w:r/>
    </w:p>
    <w:p>
      <w:pPr>
        <w:pStyle w:val="Style12"/>
        <w:jc w:val="both"/>
        <w:rPr>
          <w:sz w:val="24"/>
          <w:sz w:val="24"/>
          <w:szCs w:val="24"/>
          <w:color w:val="000000"/>
          <w:lang w:val="ru-RU"/>
        </w:rPr>
      </w:pPr>
      <w:r>
        <w:rPr>
          <w:lang w:val="ru-RU"/>
        </w:rPr>
        <w:t>3.4. Данные</w:t>
      </w:r>
      <w:r>
        <w:rPr/>
        <w:t> </w:t>
      </w:r>
      <w:r>
        <w:rPr>
          <w:lang w:val="ru-RU"/>
        </w:rPr>
        <w:t>по группам нематериальных активов раздельно по объектам, которые созданы собственными силами учреждений, и прочим объектам дополнительно раскрываются в отчетности в части изменения стоимости объектов в результате недостач и излишков.</w:t>
        <w:br/>
        <w:t xml:space="preserve"> Основание: пункт 44</w:t>
      </w:r>
      <w:r>
        <w:rPr/>
        <w:t> </w:t>
      </w:r>
      <w:r>
        <w:rPr>
          <w:lang w:val="ru-RU"/>
        </w:rPr>
        <w:t>СГС «Нематериальные активы».</w:t>
      </w:r>
      <w:r/>
    </w:p>
    <w:p>
      <w:pPr>
        <w:pStyle w:val="Style12"/>
        <w:jc w:val="both"/>
        <w:rPr>
          <w:sz w:val="24"/>
          <w:sz w:val="24"/>
          <w:szCs w:val="24"/>
          <w:color w:val="000000"/>
          <w:lang w:val="ru-RU"/>
        </w:rPr>
      </w:pPr>
      <w:r>
        <w:rPr>
          <w:lang w:val="ru-RU"/>
        </w:rPr>
        <w:t>4. Материальные запасы</w:t>
      </w:r>
      <w:r/>
    </w:p>
    <w:p>
      <w:pPr>
        <w:pStyle w:val="Style12"/>
        <w:jc w:val="both"/>
        <w:rPr>
          <w:sz w:val="24"/>
          <w:sz w:val="24"/>
          <w:szCs w:val="24"/>
          <w:color w:val="000000"/>
        </w:rPr>
      </w:pPr>
      <w:r>
        <w:rPr>
          <w:lang w:val="ru-RU"/>
        </w:rPr>
        <w:t xml:space="preserve">4.1. Единица учета материальных запасов в учреждении – номенклатурная (реестровая) единица. </w:t>
      </w:r>
      <w:r>
        <w:rPr/>
        <w:t>Исключение:</w:t>
      </w:r>
      <w:r/>
    </w:p>
    <w:p>
      <w:pPr>
        <w:pStyle w:val="Style12"/>
        <w:numPr>
          <w:ilvl w:val="0"/>
          <w:numId w:val="10"/>
        </w:numPr>
        <w:jc w:val="both"/>
        <w:rPr>
          <w:sz w:val="24"/>
          <w:sz w:val="24"/>
          <w:szCs w:val="24"/>
          <w:color w:val="000000"/>
          <w:lang w:val="ru-RU"/>
        </w:rPr>
      </w:pPr>
      <w:r>
        <w:rPr>
          <w:lang w:val="ru-RU"/>
        </w:rPr>
        <w:t>группы материальных запасов, характеристики которых совпадают, например офисная бумага одного формата с одинаковым количеством листов в пачке, кнопки канцелярские с одинаковыми диаметром и количеством штук в коробке и т. д. Единица учета таких материальных запасов – однородная (реестровая) группа запасов;</w:t>
      </w:r>
      <w:r/>
    </w:p>
    <w:p>
      <w:pPr>
        <w:pStyle w:val="Style12"/>
        <w:numPr>
          <w:ilvl w:val="0"/>
          <w:numId w:val="10"/>
        </w:numPr>
        <w:jc w:val="both"/>
        <w:rPr>
          <w:sz w:val="24"/>
          <w:sz w:val="24"/>
          <w:szCs w:val="24"/>
          <w:color w:val="000000"/>
        </w:rPr>
      </w:pPr>
      <w:r>
        <w:rPr>
          <w:lang w:val="ru-RU"/>
        </w:rPr>
        <w:t xml:space="preserve">материальные запасы с ограниченным сроком годности – продукты питания, медикаменты и др., а также товары для продажи. </w:t>
      </w:r>
      <w:r>
        <w:rPr/>
        <w:t>Единица учета таких материальных запасов – партия.</w:t>
      </w:r>
      <w:r/>
    </w:p>
    <w:p>
      <w:pPr>
        <w:pStyle w:val="Style12"/>
        <w:jc w:val="both"/>
        <w:rPr>
          <w:sz w:val="24"/>
          <w:sz w:val="24"/>
          <w:szCs w:val="24"/>
          <w:color w:val="000000"/>
          <w:lang w:val="ru-RU"/>
        </w:rPr>
      </w:pPr>
      <w:r>
        <w:rPr>
          <w:lang w:val="ru-RU"/>
        </w:rPr>
        <w:t>Решение о применении единиц учета «однородная (реестровая) группа запасов» и «партия» принимает</w:t>
      </w:r>
      <w:r>
        <w:rPr/>
        <w:t> </w:t>
      </w:r>
      <w:r>
        <w:rPr>
          <w:lang w:val="ru-RU"/>
        </w:rPr>
        <w:t>бухгалтер централизованной бухгалтерии на основе своего профессионального суждения.</w:t>
        <w:br/>
        <w:t xml:space="preserve"> Основание: пункт 8 СГС «Запасы».</w:t>
      </w:r>
      <w:r/>
    </w:p>
    <w:p>
      <w:pPr>
        <w:pStyle w:val="Style12"/>
        <w:jc w:val="both"/>
      </w:pPr>
      <w:r>
        <w:rPr>
          <w:lang w:val="ru-RU"/>
        </w:rPr>
        <w:t>4.2. Списание материальных запасов производится по средней фактической стоимости.</w:t>
        <w:br/>
        <w:t xml:space="preserve"> Основание: пункт 108 Инструкции к Единому плану счетов № 157н.</w:t>
      </w:r>
      <w:r/>
    </w:p>
    <w:p>
      <w:pPr>
        <w:pStyle w:val="Style12"/>
        <w:jc w:val="both"/>
      </w:pPr>
      <w:r>
        <w:rPr>
          <w:lang w:val="ru-RU"/>
        </w:rPr>
        <w:t>4.3. Нормы на расходы горюче-смазочных материалов (ГСМ) разрабатываются специализированной организацией и утверждаются приказом руководителя учреждения. Ежегодно приказом руководителя утверждаются период применения зимней надбавки к нормам расхода ГСМ и ее величина.</w:t>
      </w:r>
      <w:r/>
    </w:p>
    <w:p>
      <w:pPr>
        <w:pStyle w:val="Style12"/>
        <w:jc w:val="both"/>
        <w:rPr>
          <w:sz w:val="24"/>
          <w:sz w:val="24"/>
          <w:szCs w:val="24"/>
          <w:color w:val="000000"/>
          <w:lang w:val="ru-RU"/>
        </w:rPr>
      </w:pPr>
      <w:r>
        <w:rPr>
          <w:lang w:val="ru-RU"/>
        </w:rPr>
        <w:t>ГСМ списывается на расходы по фактическому расходу на основании путевых листов, но</w:t>
      </w:r>
      <w:r>
        <w:rPr/>
        <w:t> </w:t>
      </w:r>
      <w:r>
        <w:rPr>
          <w:lang w:val="ru-RU"/>
        </w:rPr>
        <w:t>не выше норм, установленных приказом руководителя учреждения.</w:t>
      </w:r>
      <w:r/>
    </w:p>
    <w:p>
      <w:pPr>
        <w:pStyle w:val="Style12"/>
        <w:jc w:val="both"/>
      </w:pPr>
      <w:r>
        <w:rPr>
          <w:lang w:val="ru-RU"/>
        </w:rPr>
        <w:t>4.4. Выдача в эксплуатацию на нужды учреждения канцелярских принадлежностей, лекарственных препаратов, запасных частей и хозяйственных материалов оформляется Ведомостью выдачи материальных ценностей на нужды учреждения (ф. 0504210). Эта ведомость является основанием для списания материальных запасов.</w:t>
      </w:r>
      <w:r/>
    </w:p>
    <w:p>
      <w:pPr>
        <w:pStyle w:val="Style12"/>
        <w:jc w:val="both"/>
      </w:pPr>
      <w:r>
        <w:rPr>
          <w:lang w:val="ru-RU"/>
        </w:rPr>
        <w:t>4.5. Мягкий и хозяйственный инвентарь, посуда списываются по Акту о списании мягкого и хозяйственного инвентаря (ф. 0504143). В остальных случаях материальные запасы списываются по Акту о списании материальных запасов (ф. 0504230).</w:t>
      </w:r>
      <w:r/>
    </w:p>
    <w:p>
      <w:pPr>
        <w:pStyle w:val="Style12"/>
        <w:jc w:val="both"/>
      </w:pPr>
      <w:r>
        <w:rPr>
          <w:lang w:val="ru-RU"/>
        </w:rPr>
        <w:t>4.6. При приобретении и (или) создании материальных запасов бюджетными и автономными учреждениями за счет средств, полученных по разным видам деятельности, сумма вложений, сформированных на счете КБК Х.106.00.000, переводится на код вида деятельности 4 «субсидии на выполнение государственного (муниципального) задания».</w:t>
      </w:r>
      <w:r/>
    </w:p>
    <w:p>
      <w:pPr>
        <w:pStyle w:val="Style12"/>
        <w:jc w:val="both"/>
      </w:pPr>
      <w:r>
        <w:rPr>
          <w:lang w:val="ru-RU"/>
        </w:rPr>
        <w:t>4.7. Учет на забалансовом счете 09 «Запасные части к транспортным средствам, выданные взамен изношенных» ведется по цене приобретения. Учету подлежат запасные части и другие комплектующие, которые могут быть использованы на других автомобилях (нетипизированные запчасти и комплектующие), такие как:</w:t>
      </w:r>
      <w:r/>
    </w:p>
    <w:p>
      <w:pPr>
        <w:pStyle w:val="Style12"/>
        <w:numPr>
          <w:ilvl w:val="0"/>
          <w:numId w:val="11"/>
        </w:numPr>
        <w:jc w:val="both"/>
        <w:rPr>
          <w:sz w:val="24"/>
          <w:sz w:val="24"/>
          <w:szCs w:val="24"/>
          <w:color w:val="000000"/>
          <w:lang w:val="ru-RU"/>
        </w:rPr>
      </w:pPr>
      <w:r>
        <w:rPr>
          <w:lang w:val="ru-RU"/>
        </w:rPr>
        <w:t>автомобильные шины –</w:t>
      </w:r>
      <w:r>
        <w:rPr/>
        <w:t> </w:t>
      </w:r>
      <w:r>
        <w:rPr>
          <w:lang w:val="ru-RU"/>
        </w:rPr>
        <w:t>четыре</w:t>
      </w:r>
      <w:r>
        <w:rPr/>
        <w:t> </w:t>
      </w:r>
      <w:r>
        <w:rPr>
          <w:lang w:val="ru-RU"/>
        </w:rPr>
        <w:t>единицы на один легковой автомобиль;</w:t>
      </w:r>
      <w:r/>
    </w:p>
    <w:p>
      <w:pPr>
        <w:pStyle w:val="Style12"/>
        <w:numPr>
          <w:ilvl w:val="0"/>
          <w:numId w:val="11"/>
        </w:numPr>
        <w:jc w:val="both"/>
        <w:rPr>
          <w:sz w:val="24"/>
          <w:sz w:val="24"/>
          <w:szCs w:val="24"/>
          <w:color w:val="000000"/>
          <w:lang w:val="ru-RU"/>
        </w:rPr>
      </w:pPr>
      <w:r>
        <w:rPr>
          <w:lang w:val="ru-RU"/>
        </w:rPr>
        <w:t>колесные диски</w:t>
      </w:r>
      <w:r>
        <w:rPr/>
        <w:t> </w:t>
      </w:r>
      <w:r>
        <w:rPr>
          <w:lang w:val="ru-RU"/>
        </w:rPr>
        <w:t>–</w:t>
      </w:r>
      <w:r>
        <w:rPr/>
        <w:t> </w:t>
      </w:r>
      <w:r>
        <w:rPr>
          <w:lang w:val="ru-RU"/>
        </w:rPr>
        <w:t>четыре единицы на один легковой автомобиль;</w:t>
      </w:r>
      <w:r/>
    </w:p>
    <w:p>
      <w:pPr>
        <w:pStyle w:val="Style12"/>
        <w:numPr>
          <w:ilvl w:val="0"/>
          <w:numId w:val="11"/>
        </w:numPr>
        <w:jc w:val="both"/>
        <w:rPr>
          <w:sz w:val="24"/>
          <w:sz w:val="24"/>
          <w:szCs w:val="24"/>
          <w:color w:val="000000"/>
          <w:lang w:val="ru-RU"/>
        </w:rPr>
      </w:pPr>
      <w:r>
        <w:rPr>
          <w:lang w:val="ru-RU"/>
        </w:rPr>
        <w:t>аккумуляторы</w:t>
      </w:r>
      <w:r>
        <w:rPr/>
        <w:t> </w:t>
      </w:r>
      <w:r>
        <w:rPr>
          <w:lang w:val="ru-RU"/>
        </w:rPr>
        <w:t>– одна единица</w:t>
      </w:r>
      <w:r>
        <w:rPr/>
        <w:t> </w:t>
      </w:r>
      <w:r>
        <w:rPr>
          <w:lang w:val="ru-RU"/>
        </w:rPr>
        <w:t>на один автомобиль;</w:t>
      </w:r>
      <w:r/>
    </w:p>
    <w:p>
      <w:pPr>
        <w:pStyle w:val="Style12"/>
        <w:numPr>
          <w:ilvl w:val="0"/>
          <w:numId w:val="11"/>
        </w:numPr>
        <w:jc w:val="both"/>
        <w:rPr>
          <w:sz w:val="24"/>
          <w:sz w:val="24"/>
          <w:szCs w:val="24"/>
          <w:color w:val="000000"/>
          <w:lang w:val="ru-RU"/>
        </w:rPr>
      </w:pPr>
      <w:r>
        <w:rPr>
          <w:lang w:val="ru-RU"/>
        </w:rPr>
        <w:t>наборы автоинструмента</w:t>
      </w:r>
      <w:r>
        <w:rPr/>
        <w:t> </w:t>
      </w:r>
      <w:r>
        <w:rPr>
          <w:lang w:val="ru-RU"/>
        </w:rPr>
        <w:t>– одна единица</w:t>
      </w:r>
      <w:r>
        <w:rPr/>
        <w:t> </w:t>
      </w:r>
      <w:r>
        <w:rPr>
          <w:lang w:val="ru-RU"/>
        </w:rPr>
        <w:t>на один автомобиль;</w:t>
      </w:r>
      <w:r/>
    </w:p>
    <w:p>
      <w:pPr>
        <w:pStyle w:val="Style12"/>
        <w:numPr>
          <w:ilvl w:val="0"/>
          <w:numId w:val="11"/>
        </w:numPr>
        <w:jc w:val="both"/>
        <w:rPr>
          <w:sz w:val="24"/>
          <w:sz w:val="24"/>
          <w:szCs w:val="24"/>
          <w:color w:val="000000"/>
          <w:lang w:val="ru-RU"/>
        </w:rPr>
      </w:pPr>
      <w:r>
        <w:rPr>
          <w:lang w:val="ru-RU"/>
        </w:rPr>
        <w:t>аптечки</w:t>
      </w:r>
      <w:r>
        <w:rPr/>
        <w:t> </w:t>
      </w:r>
      <w:r>
        <w:rPr>
          <w:lang w:val="ru-RU"/>
        </w:rPr>
        <w:t>– одна единица на один автомобиль;</w:t>
      </w:r>
      <w:r/>
    </w:p>
    <w:p>
      <w:pPr>
        <w:pStyle w:val="Style12"/>
        <w:numPr>
          <w:ilvl w:val="0"/>
          <w:numId w:val="11"/>
        </w:numPr>
        <w:jc w:val="both"/>
        <w:rPr>
          <w:sz w:val="24"/>
          <w:sz w:val="24"/>
          <w:szCs w:val="24"/>
          <w:color w:val="000000"/>
          <w:lang w:val="ru-RU"/>
        </w:rPr>
      </w:pPr>
      <w:r>
        <w:rPr>
          <w:lang w:val="ru-RU"/>
        </w:rPr>
        <w:t>огнетушители</w:t>
      </w:r>
      <w:r>
        <w:rPr/>
        <w:t> </w:t>
      </w:r>
      <w:r>
        <w:rPr>
          <w:lang w:val="ru-RU"/>
        </w:rPr>
        <w:t>– одна единица на один автомобиль;</w:t>
      </w:r>
      <w:r/>
    </w:p>
    <w:p>
      <w:pPr>
        <w:pStyle w:val="Style12"/>
        <w:jc w:val="both"/>
        <w:rPr>
          <w:sz w:val="24"/>
          <w:sz w:val="24"/>
          <w:szCs w:val="24"/>
          <w:color w:val="000000"/>
          <w:lang w:val="ru-RU"/>
        </w:rPr>
      </w:pPr>
      <w:r>
        <w:rPr>
          <w:lang w:val="ru-RU"/>
        </w:rPr>
        <w:t>Аналитический учет по счету ведется в разрезе автомобилей и материально ответственных лиц.</w:t>
      </w:r>
      <w:r/>
    </w:p>
    <w:p>
      <w:pPr>
        <w:pStyle w:val="Style12"/>
        <w:jc w:val="both"/>
        <w:rPr>
          <w:sz w:val="24"/>
          <w:sz w:val="24"/>
          <w:szCs w:val="24"/>
          <w:color w:val="000000"/>
          <w:lang w:val="ru-RU"/>
        </w:rPr>
      </w:pPr>
      <w:r>
        <w:rPr>
          <w:lang w:val="ru-RU"/>
        </w:rPr>
        <w:t>Внутреннее перемещение по счету отражается при передаче:</w:t>
      </w:r>
      <w:r/>
    </w:p>
    <w:p>
      <w:pPr>
        <w:pStyle w:val="Style12"/>
        <w:numPr>
          <w:ilvl w:val="0"/>
          <w:numId w:val="12"/>
        </w:numPr>
        <w:jc w:val="both"/>
        <w:rPr>
          <w:sz w:val="24"/>
          <w:sz w:val="24"/>
          <w:szCs w:val="24"/>
          <w:color w:val="000000"/>
        </w:rPr>
      </w:pPr>
      <w:r>
        <w:rPr/>
        <w:t>на другой автомобиль;</w:t>
      </w:r>
      <w:r/>
    </w:p>
    <w:p>
      <w:pPr>
        <w:pStyle w:val="Style12"/>
        <w:numPr>
          <w:ilvl w:val="0"/>
          <w:numId w:val="12"/>
        </w:numPr>
        <w:jc w:val="both"/>
        <w:rPr>
          <w:sz w:val="24"/>
          <w:sz w:val="24"/>
          <w:szCs w:val="24"/>
          <w:color w:val="000000"/>
          <w:lang w:val="ru-RU"/>
        </w:rPr>
      </w:pPr>
      <w:r>
        <w:rPr>
          <w:lang w:val="ru-RU"/>
        </w:rPr>
        <w:t>другому материально ответственному лицу вместе с автомобилем.</w:t>
      </w:r>
      <w:r/>
    </w:p>
    <w:p>
      <w:pPr>
        <w:pStyle w:val="Style12"/>
        <w:jc w:val="both"/>
        <w:rPr>
          <w:sz w:val="24"/>
          <w:sz w:val="24"/>
          <w:szCs w:val="24"/>
          <w:color w:val="000000"/>
        </w:rPr>
      </w:pPr>
      <w:r>
        <w:rPr/>
        <w:t>Выбытие со счета 09 отражается:</w:t>
      </w:r>
      <w:r/>
    </w:p>
    <w:p>
      <w:pPr>
        <w:pStyle w:val="Style12"/>
        <w:numPr>
          <w:ilvl w:val="0"/>
          <w:numId w:val="13"/>
        </w:numPr>
        <w:jc w:val="both"/>
        <w:rPr>
          <w:sz w:val="24"/>
          <w:sz w:val="24"/>
          <w:szCs w:val="24"/>
          <w:color w:val="000000"/>
          <w:lang w:val="ru-RU"/>
        </w:rPr>
      </w:pPr>
      <w:r>
        <w:rPr>
          <w:lang w:val="ru-RU"/>
        </w:rPr>
        <w:t>при списании автомобиля по установленным основаниям;</w:t>
      </w:r>
      <w:r/>
    </w:p>
    <w:p>
      <w:pPr>
        <w:pStyle w:val="Style12"/>
        <w:numPr>
          <w:ilvl w:val="0"/>
          <w:numId w:val="13"/>
        </w:numPr>
        <w:jc w:val="both"/>
        <w:rPr>
          <w:sz w:val="24"/>
          <w:sz w:val="24"/>
          <w:szCs w:val="24"/>
          <w:color w:val="000000"/>
          <w:lang w:val="ru-RU"/>
        </w:rPr>
      </w:pPr>
      <w:r>
        <w:rPr>
          <w:lang w:val="ru-RU"/>
        </w:rPr>
        <w:t>установке новых запчастей взамен непригодных к эксплуатации.</w:t>
      </w:r>
      <w:r/>
    </w:p>
    <w:p>
      <w:pPr>
        <w:pStyle w:val="Style12"/>
        <w:jc w:val="both"/>
        <w:rPr>
          <w:sz w:val="24"/>
          <w:sz w:val="24"/>
          <w:szCs w:val="24"/>
          <w:color w:val="000000"/>
          <w:lang w:val="ru-RU"/>
        </w:rPr>
      </w:pPr>
      <w:r>
        <w:rPr>
          <w:lang w:val="ru-RU"/>
        </w:rPr>
        <w:t>Основание: пункты 349–350 Инструкции к Единому плану счетов № 157н.</w:t>
      </w:r>
      <w:r/>
    </w:p>
    <w:p>
      <w:pPr>
        <w:pStyle w:val="Style12"/>
        <w:jc w:val="both"/>
      </w:pPr>
      <w:r>
        <w:rPr>
          <w:lang w:val="ru-RU"/>
        </w:rPr>
        <w:t>4.8. Фактическая стоимость материальных запасов, полученных в результате ремонта, разборки, утилизации (ликвидации), основных средств или иного имущества, определяется исходя из следующих факторов:</w:t>
      </w:r>
      <w:r/>
    </w:p>
    <w:p>
      <w:pPr>
        <w:pStyle w:val="Style12"/>
        <w:numPr>
          <w:ilvl w:val="0"/>
          <w:numId w:val="14"/>
        </w:numPr>
        <w:jc w:val="both"/>
        <w:rPr>
          <w:sz w:val="24"/>
          <w:sz w:val="24"/>
          <w:szCs w:val="24"/>
          <w:color w:val="000000"/>
          <w:lang w:val="ru-RU"/>
        </w:rPr>
      </w:pPr>
      <w:r>
        <w:rPr>
          <w:lang w:val="ru-RU"/>
        </w:rPr>
        <w:t>их справедливой стоимости на дату принятия к бухгалтерскому учету, рассчитанной методом рыночных цен;</w:t>
      </w:r>
      <w:r/>
    </w:p>
    <w:p>
      <w:pPr>
        <w:pStyle w:val="Style12"/>
        <w:numPr>
          <w:ilvl w:val="0"/>
          <w:numId w:val="14"/>
        </w:numPr>
        <w:jc w:val="both"/>
        <w:rPr>
          <w:sz w:val="24"/>
          <w:sz w:val="24"/>
          <w:szCs w:val="24"/>
          <w:color w:val="000000"/>
          <w:lang w:val="ru-RU"/>
        </w:rPr>
      </w:pPr>
      <w:r>
        <w:rPr>
          <w:lang w:val="ru-RU"/>
        </w:rPr>
        <w:t>сумм, уплачиваемых учреждением за доставку материальных запасов, приведение их в состояние, пригодное для использования.</w:t>
      </w:r>
      <w:r/>
    </w:p>
    <w:p>
      <w:pPr>
        <w:pStyle w:val="Style12"/>
        <w:jc w:val="both"/>
        <w:rPr>
          <w:sz w:val="24"/>
          <w:sz w:val="24"/>
          <w:szCs w:val="24"/>
          <w:color w:val="000000"/>
          <w:lang w:val="ru-RU"/>
        </w:rPr>
      </w:pPr>
      <w:r>
        <w:rPr>
          <w:lang w:val="ru-RU"/>
        </w:rPr>
        <w:t>Основание: пункты 52–60 СГС «Концептуальные основы бухучета и отчетности».</w:t>
      </w:r>
      <w:r/>
    </w:p>
    <w:p>
      <w:pPr>
        <w:pStyle w:val="Style12"/>
        <w:jc w:val="both"/>
      </w:pPr>
      <w:r>
        <w:rPr>
          <w:lang w:val="ru-RU"/>
        </w:rPr>
        <w:t>4.9. Приобретенные, но находящиеся в пути запасы признаются в бухгалтерском учете в оценке, предусмотренной контрактом (договором). Если учреждение понесло затраты, перечисленные в пункте 102 Инструкции к Единому плану счетов № 157н, стоимость запасов увеличивается на сумму данных затрат в день поступления запасов в учреждение. Отклонения фактической стоимости материальных запасов от учетной цены отдельно в учете не отражаются.</w:t>
        <w:br/>
        <w:t xml:space="preserve"> Основание: пункт 18 СГС «Запасы».</w:t>
      </w:r>
      <w:r/>
    </w:p>
    <w:p>
      <w:pPr>
        <w:pStyle w:val="Style12"/>
        <w:jc w:val="both"/>
      </w:pPr>
      <w:r>
        <w:rPr>
          <w:lang w:val="ru-RU"/>
        </w:rPr>
        <w:t>4.10. В случае получения полномочий по централизованной закупке запасов расходы на их доставку до получателей списываются на финансовый результат текущего года в день получения документов о доставке.</w:t>
        <w:br/>
        <w:t xml:space="preserve"> Основание: пункт 19 СГС «Запасы».</w:t>
      </w:r>
      <w:r/>
    </w:p>
    <w:p>
      <w:pPr>
        <w:pStyle w:val="Style12"/>
        <w:jc w:val="both"/>
      </w:pPr>
      <w:r>
        <w:rPr>
          <w:lang w:val="ru-RU"/>
        </w:rPr>
        <w:t>4.11. Расходы учреждений, за исключением медицинских, на закупку одноразовых и многоразовых масок, перчаток относятся на подстатью КОСГУ 346 «Увеличение стоимости прочих материальных запасов». Одноразовые маски и перчатки учитываются на счете 105.36 «Прочие материальные запасы».</w:t>
      </w:r>
      <w:r/>
    </w:p>
    <w:p>
      <w:pPr>
        <w:pStyle w:val="Style12"/>
        <w:jc w:val="both"/>
        <w:rPr>
          <w:sz w:val="24"/>
          <w:sz w:val="24"/>
          <w:szCs w:val="24"/>
          <w:color w:val="000000"/>
          <w:lang w:val="ru-RU"/>
        </w:rPr>
      </w:pPr>
      <w:r>
        <w:rPr>
          <w:lang w:val="ru-RU"/>
        </w:rPr>
        <w:t>5. Стоимость безвозмездно полученных нефинансовых активов</w:t>
      </w:r>
      <w:r/>
    </w:p>
    <w:p>
      <w:pPr>
        <w:pStyle w:val="Style12"/>
        <w:jc w:val="both"/>
        <w:rPr>
          <w:sz w:val="24"/>
          <w:sz w:val="24"/>
          <w:szCs w:val="24"/>
          <w:color w:val="000000"/>
          <w:lang w:val="ru-RU"/>
        </w:rPr>
      </w:pPr>
      <w:r>
        <w:rPr>
          <w:lang w:val="ru-RU"/>
        </w:rPr>
        <w:t>5.1. Данные о справедливой стоимости безвозмездно полученных нефинансовых активов должны</w:t>
      </w:r>
      <w:r>
        <w:rPr/>
        <w:t> </w:t>
      </w:r>
      <w:r>
        <w:rPr>
          <w:lang w:val="ru-RU"/>
        </w:rPr>
        <w:t>быть подтверждены документально:</w:t>
      </w:r>
      <w:r/>
    </w:p>
    <w:p>
      <w:pPr>
        <w:pStyle w:val="Style12"/>
        <w:numPr>
          <w:ilvl w:val="0"/>
          <w:numId w:val="15"/>
        </w:numPr>
        <w:jc w:val="both"/>
        <w:rPr>
          <w:sz w:val="24"/>
          <w:sz w:val="24"/>
          <w:szCs w:val="24"/>
          <w:color w:val="000000"/>
          <w:lang w:val="ru-RU"/>
        </w:rPr>
      </w:pPr>
      <w:r>
        <w:rPr>
          <w:lang w:val="ru-RU"/>
        </w:rPr>
        <w:t>справками (другими подтверждающими документами) Росстата;</w:t>
      </w:r>
      <w:r/>
    </w:p>
    <w:p>
      <w:pPr>
        <w:pStyle w:val="Style12"/>
        <w:numPr>
          <w:ilvl w:val="0"/>
          <w:numId w:val="15"/>
        </w:numPr>
        <w:jc w:val="both"/>
        <w:rPr>
          <w:sz w:val="24"/>
          <w:sz w:val="24"/>
          <w:szCs w:val="24"/>
          <w:color w:val="000000"/>
        </w:rPr>
      </w:pPr>
      <w:r>
        <w:rPr/>
        <w:t>прайс-листами заводов-изготовителей;</w:t>
      </w:r>
      <w:r/>
    </w:p>
    <w:p>
      <w:pPr>
        <w:pStyle w:val="Style12"/>
        <w:numPr>
          <w:ilvl w:val="0"/>
          <w:numId w:val="15"/>
        </w:numPr>
        <w:jc w:val="both"/>
        <w:rPr>
          <w:sz w:val="24"/>
          <w:sz w:val="24"/>
          <w:szCs w:val="24"/>
          <w:color w:val="000000"/>
          <w:lang w:val="ru-RU"/>
        </w:rPr>
      </w:pPr>
      <w:r>
        <w:rPr>
          <w:lang w:val="ru-RU"/>
        </w:rPr>
        <w:t>справками (другими подтверждающими документами) оценщиков;</w:t>
      </w:r>
      <w:r/>
    </w:p>
    <w:p>
      <w:pPr>
        <w:pStyle w:val="Style12"/>
        <w:numPr>
          <w:ilvl w:val="0"/>
          <w:numId w:val="15"/>
        </w:numPr>
        <w:jc w:val="both"/>
        <w:rPr>
          <w:sz w:val="24"/>
          <w:sz w:val="24"/>
          <w:szCs w:val="24"/>
          <w:color w:val="000000"/>
          <w:lang w:val="ru-RU"/>
        </w:rPr>
      </w:pPr>
      <w:r>
        <w:rPr>
          <w:lang w:val="ru-RU"/>
        </w:rPr>
        <w:t>информацией, размещенной в СМИ, и т. д.</w:t>
      </w:r>
      <w:r/>
    </w:p>
    <w:p>
      <w:pPr>
        <w:pStyle w:val="Style12"/>
        <w:jc w:val="both"/>
        <w:rPr>
          <w:sz w:val="24"/>
          <w:sz w:val="24"/>
          <w:szCs w:val="24"/>
          <w:color w:val="000000"/>
          <w:lang w:val="ru-RU"/>
        </w:rPr>
      </w:pPr>
      <w:r>
        <w:rPr>
          <w:lang w:val="ru-RU"/>
        </w:rPr>
        <w:t>В случаях невозможности документального подтверждения стоимость определяется</w:t>
        <w:br/>
        <w:t xml:space="preserve"> экспертным путем.</w:t>
      </w:r>
      <w:r/>
    </w:p>
    <w:p>
      <w:pPr>
        <w:pStyle w:val="Style12"/>
        <w:jc w:val="both"/>
        <w:rPr>
          <w:sz w:val="24"/>
          <w:sz w:val="24"/>
          <w:szCs w:val="24"/>
          <w:color w:val="000000"/>
          <w:lang w:val="ru-RU"/>
        </w:rPr>
      </w:pPr>
      <w:r>
        <w:rPr>
          <w:lang w:val="ru-RU"/>
        </w:rPr>
        <w:t>6. Затраты на изготовление готовой продукции, выполнение работ, оказание услуг</w:t>
      </w:r>
      <w:r/>
    </w:p>
    <w:p>
      <w:pPr>
        <w:pStyle w:val="Style12"/>
        <w:jc w:val="both"/>
      </w:pPr>
      <w:r>
        <w:rPr>
          <w:lang w:val="ru-RU"/>
        </w:rPr>
        <w:t>6.1. Учет расходов по формированию себестоимости ведется раздельно по группам видов услуг (работ):</w:t>
      </w:r>
      <w:r/>
    </w:p>
    <w:p>
      <w:pPr>
        <w:pStyle w:val="Style12"/>
      </w:pPr>
      <w:r>
        <w:rPr>
          <w:lang w:val="ru-RU"/>
        </w:rPr>
        <w:t>а) в рамках выполнения государственного задания:</w:t>
        <w:br/>
        <w:t>б) в рамках приносящей доход деятельности:</w:t>
      </w:r>
      <w:r/>
    </w:p>
    <w:p>
      <w:pPr>
        <w:pStyle w:val="Style12"/>
        <w:jc w:val="both"/>
      </w:pPr>
      <w:r>
        <w:rPr>
          <w:lang w:val="ru-RU"/>
        </w:rPr>
        <w:t xml:space="preserve"> </w:t>
      </w:r>
      <w:r>
        <w:rPr>
          <w:lang w:val="ru-RU"/>
        </w:rPr>
        <w:t>6.2. Затраты на изготовление готовой продукции (выполнение работ, оказание услуг) делятся на прямые и накладные.</w:t>
      </w:r>
      <w:r/>
    </w:p>
    <w:p>
      <w:pPr>
        <w:pStyle w:val="Style12"/>
        <w:jc w:val="both"/>
        <w:rPr>
          <w:sz w:val="24"/>
          <w:sz w:val="24"/>
          <w:szCs w:val="24"/>
          <w:color w:val="000000"/>
          <w:lang w:val="ru-RU"/>
        </w:rPr>
      </w:pPr>
      <w:r>
        <w:rPr>
          <w:lang w:val="ru-RU"/>
        </w:rPr>
        <w:t>В составе прямых затрат при формировании себестоимости оказания услуги учитываются расходы, непосредственно связанные с ее оказанием (изготовлением). В том числе:</w:t>
      </w:r>
      <w:r/>
    </w:p>
    <w:p>
      <w:pPr>
        <w:pStyle w:val="Style12"/>
        <w:numPr>
          <w:ilvl w:val="0"/>
          <w:numId w:val="16"/>
        </w:numPr>
        <w:jc w:val="both"/>
        <w:rPr>
          <w:sz w:val="24"/>
          <w:sz w:val="24"/>
          <w:szCs w:val="24"/>
          <w:color w:val="000000"/>
          <w:lang w:val="ru-RU"/>
        </w:rPr>
      </w:pPr>
      <w:r>
        <w:rPr>
          <w:lang w:val="ru-RU"/>
        </w:rPr>
        <w:t>затраты на оплату труда и начисления на выплаты по оплате труда сотрудников учреждения, непосредственно участвующих в оказании услуги;</w:t>
      </w:r>
      <w:r/>
    </w:p>
    <w:p>
      <w:pPr>
        <w:pStyle w:val="Style12"/>
        <w:numPr>
          <w:ilvl w:val="0"/>
          <w:numId w:val="16"/>
        </w:numPr>
        <w:jc w:val="both"/>
        <w:rPr>
          <w:sz w:val="24"/>
          <w:sz w:val="24"/>
          <w:szCs w:val="24"/>
          <w:color w:val="000000"/>
          <w:lang w:val="ru-RU"/>
        </w:rPr>
      </w:pPr>
      <w:r>
        <w:rPr>
          <w:lang w:val="ru-RU"/>
        </w:rPr>
        <w:t>списанные материальные запасы, израсходованные непосредственно на оказание услуги , естественная убыль;</w:t>
      </w:r>
      <w:r/>
    </w:p>
    <w:p>
      <w:pPr>
        <w:pStyle w:val="Style12"/>
        <w:numPr>
          <w:ilvl w:val="0"/>
          <w:numId w:val="16"/>
        </w:numPr>
        <w:jc w:val="both"/>
        <w:rPr>
          <w:sz w:val="24"/>
          <w:sz w:val="24"/>
          <w:szCs w:val="24"/>
          <w:color w:val="000000"/>
          <w:lang w:val="ru-RU"/>
        </w:rPr>
      </w:pPr>
      <w:r>
        <w:rPr>
          <w:lang w:val="ru-RU"/>
        </w:rPr>
        <w:t>переданные в эксплуатацию объекты основных средств стоимостью до 10 000 руб. включительно, которые используются при оказании услуги;</w:t>
      </w:r>
      <w:r/>
    </w:p>
    <w:p>
      <w:pPr>
        <w:pStyle w:val="Style12"/>
        <w:numPr>
          <w:ilvl w:val="0"/>
          <w:numId w:val="16"/>
        </w:numPr>
        <w:jc w:val="both"/>
        <w:rPr>
          <w:sz w:val="24"/>
          <w:sz w:val="24"/>
          <w:szCs w:val="24"/>
          <w:color w:val="000000"/>
          <w:lang w:val="ru-RU"/>
        </w:rPr>
      </w:pPr>
      <w:r>
        <w:rPr>
          <w:lang w:val="ru-RU"/>
        </w:rPr>
        <w:t>сумма амортизации основных средств, которые используются при оказании услуги ;</w:t>
      </w:r>
      <w:r/>
    </w:p>
    <w:p>
      <w:pPr>
        <w:pStyle w:val="Style12"/>
        <w:jc w:val="both"/>
        <w:rPr>
          <w:sz w:val="24"/>
          <w:sz w:val="24"/>
          <w:szCs w:val="24"/>
          <w:color w:val="000000"/>
          <w:lang w:val="ru-RU"/>
        </w:rPr>
      </w:pPr>
      <w:r>
        <w:rPr>
          <w:lang w:val="ru-RU"/>
        </w:rPr>
        <w:t>В составе накладных расходов при формировании себестоимости услуг (готовой продукции) учитываются расходы:</w:t>
      </w:r>
      <w:r/>
    </w:p>
    <w:p>
      <w:pPr>
        <w:pStyle w:val="Style12"/>
        <w:numPr>
          <w:ilvl w:val="0"/>
          <w:numId w:val="17"/>
        </w:numPr>
        <w:jc w:val="both"/>
        <w:rPr>
          <w:sz w:val="24"/>
          <w:sz w:val="24"/>
          <w:szCs w:val="24"/>
          <w:color w:val="000000"/>
          <w:lang w:val="ru-RU"/>
        </w:rPr>
      </w:pPr>
      <w:r>
        <w:rPr>
          <w:lang w:val="ru-RU"/>
        </w:rPr>
        <w:t>затраты на оплату труда и начисления на выплаты по оплате труда сотрудников учреждения, участвующих в оказании нескольких видов услуг (изготовлении продукции);</w:t>
      </w:r>
      <w:r/>
    </w:p>
    <w:p>
      <w:pPr>
        <w:pStyle w:val="Style12"/>
        <w:numPr>
          <w:ilvl w:val="0"/>
          <w:numId w:val="17"/>
        </w:numPr>
        <w:jc w:val="both"/>
        <w:rPr>
          <w:sz w:val="24"/>
          <w:sz w:val="24"/>
          <w:szCs w:val="24"/>
          <w:color w:val="000000"/>
          <w:lang w:val="ru-RU"/>
        </w:rPr>
      </w:pPr>
      <w:r>
        <w:rPr>
          <w:lang w:val="ru-RU"/>
        </w:rPr>
        <w:t>материальные запасы, израсходованные на нужды учреждения, естественная убыль;</w:t>
      </w:r>
      <w:r/>
    </w:p>
    <w:p>
      <w:pPr>
        <w:pStyle w:val="Style12"/>
        <w:numPr>
          <w:ilvl w:val="0"/>
          <w:numId w:val="17"/>
        </w:numPr>
        <w:jc w:val="both"/>
        <w:rPr>
          <w:sz w:val="24"/>
          <w:sz w:val="24"/>
          <w:szCs w:val="24"/>
          <w:color w:val="000000"/>
          <w:lang w:val="ru-RU"/>
        </w:rPr>
      </w:pPr>
      <w:r>
        <w:rPr>
          <w:lang w:val="ru-RU"/>
        </w:rPr>
        <w:t>переданные в эксплуатацию объекты основных средств стоимостью до 10 000 руб. включительно в случае их использования для изготовления нескольких видов продукции, оказания услуг;</w:t>
      </w:r>
      <w:r/>
    </w:p>
    <w:p>
      <w:pPr>
        <w:pStyle w:val="Style12"/>
        <w:numPr>
          <w:ilvl w:val="0"/>
          <w:numId w:val="17"/>
        </w:numPr>
        <w:jc w:val="both"/>
        <w:rPr>
          <w:sz w:val="24"/>
          <w:sz w:val="24"/>
          <w:szCs w:val="24"/>
          <w:color w:val="000000"/>
          <w:lang w:val="ru-RU"/>
        </w:rPr>
      </w:pPr>
      <w:r>
        <w:rPr>
          <w:lang w:val="ru-RU"/>
        </w:rPr>
        <w:t>амортизация основных средств, которые используются для изготовления разных видов продукции, оказания услуг;</w:t>
      </w:r>
      <w:r/>
    </w:p>
    <w:p>
      <w:pPr>
        <w:pStyle w:val="Style12"/>
        <w:numPr>
          <w:ilvl w:val="0"/>
          <w:numId w:val="17"/>
        </w:numPr>
        <w:jc w:val="both"/>
        <w:rPr>
          <w:sz w:val="24"/>
          <w:sz w:val="24"/>
          <w:szCs w:val="24"/>
          <w:color w:val="000000"/>
          <w:lang w:val="ru-RU"/>
        </w:rPr>
      </w:pPr>
      <w:r>
        <w:rPr>
          <w:lang w:val="ru-RU"/>
        </w:rPr>
        <w:t>расходы, связанные с ремонтом, техническим обслуживанием нефинансовых активов;</w:t>
      </w:r>
      <w:r/>
    </w:p>
    <w:p>
      <w:pPr>
        <w:pStyle w:val="Style12"/>
        <w:jc w:val="both"/>
        <w:rPr>
          <w:sz w:val="24"/>
          <w:sz w:val="24"/>
          <w:szCs w:val="24"/>
          <w:color w:val="000000"/>
          <w:lang w:val="ru-RU"/>
        </w:rPr>
      </w:pPr>
      <w:r>
        <w:rPr>
          <w:lang w:val="ru-RU"/>
        </w:rPr>
        <w:t>6.3. Накладные расходы распределяются между себестоимостью разных видов услуг по окончании месяца пропорционально прямым затратам на оплату труда в месяце распределения.</w:t>
      </w:r>
      <w:r/>
    </w:p>
    <w:p>
      <w:pPr>
        <w:pStyle w:val="Style12"/>
        <w:jc w:val="both"/>
        <w:rPr>
          <w:sz w:val="24"/>
          <w:sz w:val="24"/>
          <w:szCs w:val="24"/>
          <w:color w:val="000000"/>
          <w:lang w:val="ru-RU"/>
        </w:rPr>
      </w:pPr>
      <w:r>
        <w:rPr>
          <w:lang w:val="ru-RU"/>
        </w:rPr>
        <w:t>6.4. В составе общехозяйственных расходов учитываются расходы, распределяемые между всеми видами услуг (продукции):</w:t>
      </w:r>
      <w:r/>
    </w:p>
    <w:p>
      <w:pPr>
        <w:pStyle w:val="Style12"/>
        <w:numPr>
          <w:ilvl w:val="0"/>
          <w:numId w:val="18"/>
        </w:numPr>
        <w:jc w:val="both"/>
        <w:rPr>
          <w:sz w:val="24"/>
          <w:sz w:val="24"/>
          <w:szCs w:val="24"/>
          <w:color w:val="000000"/>
          <w:lang w:val="ru-RU"/>
        </w:rPr>
      </w:pPr>
      <w:r>
        <w:rPr>
          <w:lang w:val="ru-RU"/>
        </w:rPr>
        <w:t>расходы на оплату труда и начисления на выплаты по оплате труда сотрудников учреждения, не принимающих непосредственного участия при оказании услуги : административно-управленческого, административно-хозяйственного и прочего обслуживающего персонала;</w:t>
      </w:r>
      <w:r/>
    </w:p>
    <w:p>
      <w:pPr>
        <w:pStyle w:val="Style12"/>
        <w:numPr>
          <w:ilvl w:val="0"/>
          <w:numId w:val="18"/>
        </w:numPr>
        <w:jc w:val="both"/>
        <w:rPr>
          <w:sz w:val="24"/>
          <w:sz w:val="24"/>
          <w:szCs w:val="24"/>
          <w:color w:val="000000"/>
          <w:lang w:val="ru-RU"/>
        </w:rPr>
      </w:pPr>
      <w:r>
        <w:rPr>
          <w:lang w:val="ru-RU"/>
        </w:rPr>
        <w:t>материальные запасы, израсходованные на общехозяйственные нужды учреждения (в том числе в качестве естественной убыли, пришедшие в негодность) на цели, не связанные напрямую с оказанием услуг;</w:t>
      </w:r>
      <w:r/>
    </w:p>
    <w:p>
      <w:pPr>
        <w:pStyle w:val="Style12"/>
        <w:numPr>
          <w:ilvl w:val="0"/>
          <w:numId w:val="18"/>
        </w:numPr>
        <w:jc w:val="both"/>
        <w:rPr>
          <w:sz w:val="24"/>
          <w:sz w:val="24"/>
          <w:szCs w:val="24"/>
          <w:color w:val="000000"/>
          <w:lang w:val="ru-RU"/>
        </w:rPr>
      </w:pPr>
      <w:r>
        <w:rPr>
          <w:lang w:val="ru-RU"/>
        </w:rPr>
        <w:t>переданные в эксплуатацию объекты основных средств стоимостью до 10 000 руб. включительно на цели, не связанные напрямую с оказанием услуг;</w:t>
      </w:r>
      <w:r/>
    </w:p>
    <w:p>
      <w:pPr>
        <w:pStyle w:val="Style12"/>
        <w:numPr>
          <w:ilvl w:val="0"/>
          <w:numId w:val="18"/>
        </w:numPr>
        <w:jc w:val="both"/>
        <w:rPr>
          <w:sz w:val="24"/>
          <w:sz w:val="24"/>
          <w:szCs w:val="24"/>
          <w:color w:val="000000"/>
          <w:lang w:val="ru-RU"/>
        </w:rPr>
      </w:pPr>
      <w:r>
        <w:rPr>
          <w:lang w:val="ru-RU"/>
        </w:rPr>
        <w:t>амортизация основных средств, не связанных напрямую с оказанием услуг (выполнением работ);</w:t>
      </w:r>
      <w:r/>
    </w:p>
    <w:p>
      <w:pPr>
        <w:pStyle w:val="Style12"/>
        <w:numPr>
          <w:ilvl w:val="0"/>
          <w:numId w:val="18"/>
        </w:numPr>
        <w:jc w:val="both"/>
        <w:rPr>
          <w:sz w:val="24"/>
          <w:sz w:val="24"/>
          <w:szCs w:val="24"/>
          <w:color w:val="000000"/>
        </w:rPr>
      </w:pPr>
      <w:r>
        <w:rPr/>
        <w:t>коммунальные расходы;</w:t>
      </w:r>
      <w:r/>
    </w:p>
    <w:p>
      <w:pPr>
        <w:pStyle w:val="Style12"/>
        <w:numPr>
          <w:ilvl w:val="0"/>
          <w:numId w:val="18"/>
        </w:numPr>
        <w:jc w:val="both"/>
        <w:rPr>
          <w:sz w:val="24"/>
          <w:sz w:val="24"/>
          <w:szCs w:val="24"/>
          <w:color w:val="000000"/>
        </w:rPr>
      </w:pPr>
      <w:r>
        <w:rPr/>
        <w:t>расходы услуги связи;</w:t>
      </w:r>
      <w:r/>
    </w:p>
    <w:p>
      <w:pPr>
        <w:pStyle w:val="Style12"/>
        <w:numPr>
          <w:ilvl w:val="0"/>
          <w:numId w:val="18"/>
        </w:numPr>
        <w:jc w:val="both"/>
        <w:rPr>
          <w:sz w:val="24"/>
          <w:sz w:val="24"/>
          <w:szCs w:val="24"/>
          <w:color w:val="000000"/>
        </w:rPr>
      </w:pPr>
      <w:r>
        <w:rPr/>
        <w:t>расходы на транспортные услуги;</w:t>
      </w:r>
      <w:r/>
    </w:p>
    <w:p>
      <w:pPr>
        <w:pStyle w:val="Style12"/>
        <w:numPr>
          <w:ilvl w:val="0"/>
          <w:numId w:val="18"/>
        </w:numPr>
        <w:jc w:val="both"/>
        <w:rPr>
          <w:sz w:val="24"/>
          <w:sz w:val="24"/>
          <w:szCs w:val="24"/>
          <w:color w:val="000000"/>
          <w:lang w:val="ru-RU"/>
        </w:rPr>
      </w:pPr>
      <w:r>
        <w:rPr>
          <w:lang w:val="ru-RU"/>
        </w:rPr>
        <w:t>расходы на содержание транспорта, зданий, сооружений и инвентаря общехозяйственного назначения;</w:t>
      </w:r>
      <w:r/>
    </w:p>
    <w:p>
      <w:pPr>
        <w:pStyle w:val="Style12"/>
        <w:numPr>
          <w:ilvl w:val="0"/>
          <w:numId w:val="18"/>
        </w:numPr>
        <w:jc w:val="both"/>
        <w:rPr>
          <w:sz w:val="24"/>
          <w:sz w:val="24"/>
          <w:szCs w:val="24"/>
          <w:color w:val="000000"/>
        </w:rPr>
      </w:pPr>
      <w:r>
        <w:rPr/>
        <w:t>на охрану учреждения;</w:t>
      </w:r>
      <w:r/>
    </w:p>
    <w:p>
      <w:pPr>
        <w:pStyle w:val="Style12"/>
        <w:numPr>
          <w:ilvl w:val="0"/>
          <w:numId w:val="18"/>
        </w:numPr>
        <w:jc w:val="both"/>
        <w:rPr>
          <w:sz w:val="24"/>
          <w:sz w:val="24"/>
          <w:szCs w:val="24"/>
          <w:color w:val="000000"/>
          <w:lang w:val="ru-RU"/>
        </w:rPr>
      </w:pPr>
      <w:r>
        <w:rPr>
          <w:lang w:val="ru-RU"/>
        </w:rPr>
        <w:t>прочие работы и услуги на общехозяйственные нужды.</w:t>
      </w:r>
      <w:r/>
    </w:p>
    <w:p>
      <w:pPr>
        <w:pStyle w:val="Style12"/>
        <w:jc w:val="both"/>
        <w:rPr>
          <w:sz w:val="24"/>
          <w:sz w:val="24"/>
          <w:szCs w:val="24"/>
          <w:color w:val="000000"/>
          <w:lang w:val="ru-RU"/>
        </w:rPr>
      </w:pPr>
      <w:r>
        <w:rPr>
          <w:lang w:val="ru-RU"/>
        </w:rPr>
        <w:t>Общехозяйственные расходы учреждений, произведенные за отчетный период (месяц), распределяются:</w:t>
      </w:r>
      <w:r/>
    </w:p>
    <w:p>
      <w:pPr>
        <w:pStyle w:val="Style12"/>
        <w:numPr>
          <w:ilvl w:val="0"/>
          <w:numId w:val="19"/>
        </w:numPr>
        <w:jc w:val="both"/>
        <w:rPr>
          <w:sz w:val="24"/>
          <w:sz w:val="24"/>
          <w:szCs w:val="24"/>
          <w:color w:val="000000"/>
          <w:lang w:val="ru-RU"/>
        </w:rPr>
      </w:pPr>
      <w:r>
        <w:rPr>
          <w:lang w:val="ru-RU"/>
        </w:rPr>
        <w:t>в части распределяемых расходов – на себестоимость, оказанных работ, услуг пропорционально прямым затратам на единицу услуги, работы, продукции;</w:t>
      </w:r>
      <w:r/>
    </w:p>
    <w:p>
      <w:pPr>
        <w:pStyle w:val="Style12"/>
        <w:numPr>
          <w:ilvl w:val="0"/>
          <w:numId w:val="19"/>
        </w:numPr>
        <w:jc w:val="both"/>
        <w:rPr>
          <w:sz w:val="24"/>
          <w:sz w:val="24"/>
          <w:szCs w:val="24"/>
          <w:color w:val="000000"/>
          <w:lang w:val="ru-RU"/>
        </w:rPr>
      </w:pPr>
      <w:r>
        <w:rPr>
          <w:lang w:val="ru-RU"/>
        </w:rPr>
        <w:t>в части нераспределяемых расходов – на увеличение расходов текущего финансового года (КБК Х.401.20.000).</w:t>
      </w:r>
      <w:r/>
    </w:p>
    <w:p>
      <w:pPr>
        <w:pStyle w:val="Style12"/>
        <w:jc w:val="both"/>
        <w:rPr>
          <w:sz w:val="24"/>
          <w:sz w:val="24"/>
          <w:szCs w:val="24"/>
          <w:color w:val="000000"/>
          <w:lang w:val="ru-RU"/>
        </w:rPr>
      </w:pPr>
      <w:r>
        <w:rPr>
          <w:lang w:val="ru-RU"/>
        </w:rPr>
        <w:t>6.5. Расходами, которые не включаются в себестоимость (нераспределяемые расходы) и сразу списываются на финансовый результат (счет КБК Х.401.20.000), признаются:</w:t>
      </w:r>
      <w:r/>
    </w:p>
    <w:p>
      <w:pPr>
        <w:pStyle w:val="Style12"/>
        <w:numPr>
          <w:ilvl w:val="0"/>
          <w:numId w:val="20"/>
        </w:numPr>
        <w:jc w:val="both"/>
        <w:rPr>
          <w:sz w:val="24"/>
          <w:sz w:val="24"/>
          <w:szCs w:val="24"/>
          <w:color w:val="000000"/>
          <w:lang w:val="ru-RU"/>
        </w:rPr>
      </w:pPr>
      <w:r>
        <w:rPr>
          <w:lang w:val="ru-RU"/>
        </w:rPr>
        <w:t>расходы на социальное обеспечение населения;</w:t>
      </w:r>
      <w:r/>
    </w:p>
    <w:p>
      <w:pPr>
        <w:pStyle w:val="Style12"/>
        <w:numPr>
          <w:ilvl w:val="0"/>
          <w:numId w:val="20"/>
        </w:numPr>
        <w:jc w:val="both"/>
        <w:rPr>
          <w:sz w:val="24"/>
          <w:sz w:val="24"/>
          <w:szCs w:val="24"/>
          <w:color w:val="000000"/>
        </w:rPr>
      </w:pPr>
      <w:r>
        <w:rPr/>
        <w:t>расходы на транспортный налог;</w:t>
      </w:r>
      <w:r/>
    </w:p>
    <w:p>
      <w:pPr>
        <w:pStyle w:val="Style12"/>
        <w:numPr>
          <w:ilvl w:val="0"/>
          <w:numId w:val="20"/>
        </w:numPr>
        <w:jc w:val="both"/>
        <w:rPr>
          <w:sz w:val="24"/>
          <w:sz w:val="24"/>
          <w:szCs w:val="24"/>
          <w:color w:val="000000"/>
          <w:lang w:val="ru-RU"/>
        </w:rPr>
      </w:pPr>
      <w:r>
        <w:rPr>
          <w:lang w:val="ru-RU"/>
        </w:rPr>
        <w:t>расходы на налог на имущество;</w:t>
      </w:r>
      <w:r/>
    </w:p>
    <w:p>
      <w:pPr>
        <w:pStyle w:val="Style12"/>
        <w:numPr>
          <w:ilvl w:val="0"/>
          <w:numId w:val="20"/>
        </w:numPr>
        <w:jc w:val="both"/>
        <w:rPr>
          <w:sz w:val="24"/>
          <w:sz w:val="24"/>
          <w:szCs w:val="24"/>
          <w:color w:val="000000"/>
          <w:lang w:val="ru-RU"/>
        </w:rPr>
      </w:pPr>
      <w:r>
        <w:rPr>
          <w:lang w:val="ru-RU"/>
        </w:rPr>
        <w:t>штрафы и пени по налогам, штрафы, пени, неустойки за нарушение условий договоров;</w:t>
      </w:r>
      <w:r/>
    </w:p>
    <w:p>
      <w:pPr>
        <w:pStyle w:val="Style12"/>
        <w:numPr>
          <w:ilvl w:val="0"/>
          <w:numId w:val="20"/>
        </w:numPr>
        <w:jc w:val="both"/>
        <w:rPr>
          <w:sz w:val="24"/>
          <w:sz w:val="24"/>
          <w:szCs w:val="24"/>
          <w:color w:val="000000"/>
          <w:lang w:val="ru-RU"/>
        </w:rPr>
      </w:pPr>
      <w:r>
        <w:rPr>
          <w:lang w:val="ru-RU"/>
        </w:rPr>
        <w:t>амортизация по недвижимому и особо ценному движимому имуществу, которое закреплено за учреждением или приобретено за счет средств, выделенных учредителем;</w:t>
      </w:r>
      <w:r/>
    </w:p>
    <w:p>
      <w:pPr>
        <w:pStyle w:val="Style12"/>
        <w:jc w:val="both"/>
        <w:rPr>
          <w:sz w:val="24"/>
          <w:sz w:val="24"/>
          <w:szCs w:val="24"/>
          <w:color w:val="000000"/>
          <w:lang w:val="ru-RU"/>
        </w:rPr>
      </w:pPr>
      <w:r>
        <w:rPr>
          <w:lang w:val="ru-RU"/>
        </w:rPr>
        <w:t>6.6. Себестоимость услуг (готовой продукции) за отчетный месяц, сформированная на счете КБК Х.109.60.000, списывается в дебет счета КБК Х.401.10.131 «Доходы от оказания платных услуг (работ)» в последний день месяца.</w:t>
      </w:r>
      <w:r/>
    </w:p>
    <w:p>
      <w:pPr>
        <w:pStyle w:val="Style12"/>
        <w:jc w:val="both"/>
        <w:rPr>
          <w:sz w:val="24"/>
          <w:sz w:val="24"/>
          <w:szCs w:val="24"/>
          <w:color w:val="000000"/>
          <w:lang w:val="ru-RU"/>
        </w:rPr>
      </w:pPr>
      <w:r>
        <w:rPr>
          <w:lang w:val="ru-RU"/>
        </w:rPr>
        <w:t>7. Расчеты с подотчетными лицами</w:t>
      </w:r>
      <w:r/>
    </w:p>
    <w:p>
      <w:pPr>
        <w:pStyle w:val="Style12"/>
        <w:jc w:val="both"/>
        <w:rPr>
          <w:sz w:val="24"/>
          <w:sz w:val="24"/>
          <w:szCs w:val="24"/>
          <w:color w:val="000000"/>
          <w:lang w:val="ru-RU"/>
        </w:rPr>
      </w:pPr>
      <w:r>
        <w:rPr>
          <w:lang w:val="ru-RU"/>
        </w:rPr>
        <w:t>7.1. Учреждения выдают денежные средства под отчет, в том числе для поездок в служебные командировки, в соответствии с порядком, установленным внутренними локальными актами.</w:t>
      </w:r>
      <w:r/>
    </w:p>
    <w:p>
      <w:pPr>
        <w:pStyle w:val="Style12"/>
        <w:jc w:val="both"/>
        <w:rPr>
          <w:sz w:val="24"/>
          <w:sz w:val="24"/>
          <w:szCs w:val="24"/>
          <w:color w:val="000000"/>
          <w:lang w:val="ru-RU"/>
        </w:rPr>
      </w:pPr>
      <w:r>
        <w:rPr>
          <w:lang w:val="ru-RU"/>
        </w:rPr>
        <w:t>7.2. При направлении сотрудников учреждения в служебные командировки расходы на них возмещаются в размере, установленном каждым учреждением в порядке оформления служебных командировок.</w:t>
      </w:r>
      <w:r/>
    </w:p>
    <w:p>
      <w:pPr>
        <w:pStyle w:val="Style12"/>
        <w:jc w:val="both"/>
        <w:rPr>
          <w:sz w:val="24"/>
          <w:sz w:val="24"/>
          <w:szCs w:val="24"/>
          <w:color w:val="000000"/>
          <w:lang w:val="ru-RU"/>
        </w:rPr>
      </w:pPr>
      <w:r>
        <w:rPr>
          <w:lang w:val="ru-RU"/>
        </w:rPr>
        <w:t>8. Расчеты с дебиторами и кредиторами</w:t>
      </w:r>
      <w:r/>
    </w:p>
    <w:p>
      <w:pPr>
        <w:pStyle w:val="Style12"/>
        <w:jc w:val="both"/>
        <w:rPr>
          <w:sz w:val="24"/>
          <w:sz w:val="24"/>
          <w:szCs w:val="24"/>
          <w:color w:val="000000"/>
          <w:lang w:val="ru-RU"/>
        </w:rPr>
      </w:pPr>
      <w:r>
        <w:rPr>
          <w:lang w:val="ru-RU"/>
        </w:rPr>
        <w:t>8.1. В бюджетных и автономных учреждениях денежные средства от виновных лиц в возмещение ущерба, причиненного нефинансовым активам, отражаются по коду вида деятельности «2» – приносящая доход деятельность (собственные доходы учреждения).</w:t>
      </w:r>
      <w:r/>
    </w:p>
    <w:p>
      <w:pPr>
        <w:pStyle w:val="Style12"/>
        <w:jc w:val="both"/>
        <w:rPr>
          <w:sz w:val="24"/>
          <w:sz w:val="24"/>
          <w:szCs w:val="24"/>
          <w:color w:val="000000"/>
          <w:lang w:val="ru-RU"/>
        </w:rPr>
      </w:pPr>
      <w:r>
        <w:rPr>
          <w:lang w:val="ru-RU"/>
        </w:rPr>
        <w:t>Возмещение в натуральной форме ущерба, причиненного нефинансовым активам, отражается по коду вида финансового обеспечения (деятельности), по которому активы учитывались.</w:t>
      </w:r>
      <w:r/>
    </w:p>
    <w:p>
      <w:pPr>
        <w:pStyle w:val="Style12"/>
        <w:jc w:val="both"/>
        <w:rPr>
          <w:sz w:val="24"/>
          <w:sz w:val="24"/>
          <w:szCs w:val="24"/>
          <w:color w:val="000000"/>
          <w:lang w:val="ru-RU"/>
        </w:rPr>
      </w:pPr>
      <w:r>
        <w:rPr>
          <w:lang w:val="ru-RU"/>
        </w:rPr>
        <w:t>8.2. Задолженность дебиторов в виде возмещения эксплуатационных и коммунальных расходов отражается в учете на основании выставленного арендатору счета, счетов поставщиков (подрядчиков), Бухгалтерской справки (ф. 0504833).</w:t>
      </w:r>
      <w:r/>
    </w:p>
    <w:p>
      <w:pPr>
        <w:pStyle w:val="Style12"/>
        <w:jc w:val="both"/>
        <w:rPr>
          <w:sz w:val="24"/>
          <w:sz w:val="24"/>
          <w:szCs w:val="24"/>
          <w:color w:val="000000"/>
          <w:lang w:val="ru-RU"/>
        </w:rPr>
      </w:pPr>
      <w:r>
        <w:rPr>
          <w:lang w:val="ru-RU"/>
        </w:rPr>
        <w:t>9. Расчеты по обязательствам</w:t>
      </w:r>
      <w:r/>
    </w:p>
    <w:p>
      <w:pPr>
        <w:pStyle w:val="Style12"/>
        <w:jc w:val="both"/>
        <w:rPr>
          <w:sz w:val="24"/>
          <w:sz w:val="24"/>
          <w:szCs w:val="24"/>
          <w:color w:val="000000"/>
          <w:lang w:val="ru-RU"/>
        </w:rPr>
      </w:pPr>
      <w:r>
        <w:rPr>
          <w:lang w:val="ru-RU"/>
        </w:rPr>
        <w:t>9.1. Аналитический учет расчетов по пособиям и иным социальным выплатам ведется в разрезе физических лиц – получателей социальных выплат.</w:t>
      </w:r>
      <w:r/>
    </w:p>
    <w:p>
      <w:pPr>
        <w:pStyle w:val="Style12"/>
        <w:jc w:val="both"/>
      </w:pPr>
      <w:r>
        <w:rPr>
          <w:lang w:val="ru-RU"/>
        </w:rPr>
        <w:t>9.2. Аналитический учет расчетов по оплате труда ведется в разрезе сотрудников и других физических лиц, с которыми заключены гражданско-правовые договоры.</w:t>
      </w:r>
      <w:r/>
    </w:p>
    <w:p>
      <w:pPr>
        <w:pStyle w:val="Style12"/>
        <w:jc w:val="both"/>
      </w:pPr>
      <w:r>
        <w:rPr>
          <w:color w:val="000000"/>
          <w:sz w:val="22"/>
          <w:szCs w:val="22"/>
          <w:lang w:val="ru-RU"/>
        </w:rPr>
        <w:t>9.3 Порядок принятия обязательств соглосно приложения 8.</w:t>
      </w:r>
      <w:r/>
    </w:p>
    <w:p>
      <w:pPr>
        <w:pStyle w:val="Style12"/>
        <w:jc w:val="both"/>
        <w:rPr>
          <w:sz w:val="24"/>
          <w:sz w:val="24"/>
          <w:szCs w:val="24"/>
          <w:color w:val="000000"/>
          <w:lang w:val="ru-RU"/>
        </w:rPr>
      </w:pPr>
      <w:r>
        <w:rPr>
          <w:lang w:val="ru-RU"/>
        </w:rPr>
        <w:t>10. Дебиторская и кредиторская задолженность</w:t>
      </w:r>
      <w:r/>
    </w:p>
    <w:p>
      <w:pPr>
        <w:pStyle w:val="Style12"/>
        <w:jc w:val="both"/>
        <w:rPr>
          <w:sz w:val="24"/>
          <w:sz w:val="24"/>
          <w:szCs w:val="24"/>
          <w:color w:val="000000"/>
          <w:lang w:val="ru-RU"/>
        </w:rPr>
      </w:pPr>
      <w:r>
        <w:rPr>
          <w:lang w:val="ru-RU"/>
        </w:rPr>
        <w:t xml:space="preserve">10.1. Дебиторская задолженность списывается с учета после того, как комиссия учреждения по поступлению и выбытию активов признает ее сомнительной или безнадежной к взысканию в порядке, утвержденном Положением о признании дебиторской задолженности сомнительной и безнадежной к взысканию </w:t>
      </w:r>
      <w:r>
        <w:rPr>
          <w:lang w:val="ru-RU"/>
        </w:rPr>
        <w:t>приложение 10.</w:t>
      </w:r>
      <w:r>
        <w:rPr>
          <w:lang w:val="ru-RU"/>
        </w:rPr>
        <w:br/>
        <w:t xml:space="preserve"> Основание: пункт 339 Инструкции к Единому плану счетов № 157н, пункт 11 СГС «Доходы».</w:t>
      </w:r>
      <w:r/>
    </w:p>
    <w:p>
      <w:pPr>
        <w:pStyle w:val="Style12"/>
        <w:jc w:val="both"/>
        <w:rPr>
          <w:sz w:val="24"/>
          <w:sz w:val="24"/>
          <w:szCs w:val="24"/>
          <w:color w:val="000000"/>
          <w:lang w:val="ru-RU"/>
        </w:rPr>
      </w:pPr>
      <w:r>
        <w:rPr>
          <w:lang w:val="ru-RU"/>
        </w:rPr>
        <w:t>10.2. Кредиторская задолженность, не востребованная кредитором, списывается на финансовый результат на основании решения инвентаризационной комиссии о признании задолженности невостребованной. Одновременно списанная с балансового учета кредиторская задолженность отражается на забалансовом счете 20 «Задолженность, не востребованная кредиторами».</w:t>
      </w:r>
      <w:r/>
    </w:p>
    <w:p>
      <w:pPr>
        <w:pStyle w:val="Style12"/>
        <w:jc w:val="both"/>
        <w:rPr>
          <w:sz w:val="24"/>
          <w:sz w:val="24"/>
          <w:szCs w:val="24"/>
          <w:color w:val="000000"/>
          <w:lang w:val="ru-RU"/>
        </w:rPr>
      </w:pPr>
      <w:r>
        <w:rPr>
          <w:lang w:val="ru-RU"/>
        </w:rPr>
        <w:t>С забалансового учета задолженность списывается на основании решения инвентаризационной комиссии учреждения:</w:t>
        <w:br/>
        <w:t xml:space="preserve"> – по истечении пяти лет отражения задолженности на забалансовом учете;</w:t>
        <w:br/>
        <w:t xml:space="preserve"> – по завершении срока возможного возобновления процедуры взыскания задолженности согласно действующему законодательству;</w:t>
        <w:br/>
        <w:t xml:space="preserve"> – при наличии документов, подтверждающих прекращение обязательства в связи со смертью (ликвидацией) контрагента.</w:t>
      </w:r>
      <w:r/>
    </w:p>
    <w:p>
      <w:pPr>
        <w:pStyle w:val="Style12"/>
        <w:jc w:val="both"/>
        <w:rPr>
          <w:sz w:val="24"/>
          <w:sz w:val="24"/>
          <w:szCs w:val="24"/>
          <w:color w:val="000000"/>
          <w:lang w:val="ru-RU"/>
        </w:rPr>
      </w:pPr>
      <w:r>
        <w:rPr>
          <w:lang w:val="ru-RU"/>
        </w:rPr>
        <w:t>Основание: пункты 371, 372 Инструкции к Единому плану счетов № 157н.</w:t>
      </w:r>
      <w:r/>
    </w:p>
    <w:p>
      <w:pPr>
        <w:pStyle w:val="Style12"/>
        <w:jc w:val="both"/>
        <w:rPr>
          <w:sz w:val="24"/>
          <w:sz w:val="24"/>
          <w:szCs w:val="24"/>
          <w:color w:val="000000"/>
          <w:lang w:val="ru-RU"/>
        </w:rPr>
      </w:pPr>
      <w:r>
        <w:rPr>
          <w:lang w:val="ru-RU"/>
        </w:rPr>
        <w:t>11. Финансовый результат</w:t>
      </w:r>
      <w:r/>
    </w:p>
    <w:p>
      <w:pPr>
        <w:pStyle w:val="Style12"/>
        <w:jc w:val="both"/>
        <w:rPr>
          <w:sz w:val="24"/>
          <w:sz w:val="24"/>
          <w:szCs w:val="24"/>
          <w:color w:val="000000"/>
          <w:lang w:val="ru-RU"/>
        </w:rPr>
      </w:pPr>
      <w:r>
        <w:rPr>
          <w:lang w:val="ru-RU"/>
        </w:rPr>
        <w:t>11.1. Доходы от предоставления права пользования активом (арендная плата) признаются доходами текущего финансового года с одновременным уменьшением предстоящих доходов равномерно (ежемесячно) на протяжении срока пользования объектом учета аренды.</w:t>
        <w:br/>
        <w:t xml:space="preserve"> Основание: пункт 25 СГС «Аренда», подпункт «а» пункта 55 СГС «Доходы».</w:t>
      </w:r>
      <w:r/>
    </w:p>
    <w:p>
      <w:pPr>
        <w:pStyle w:val="Style12"/>
        <w:jc w:val="both"/>
        <w:rPr>
          <w:sz w:val="24"/>
          <w:sz w:val="24"/>
          <w:szCs w:val="24"/>
          <w:color w:val="000000"/>
          <w:lang w:val="ru-RU"/>
        </w:rPr>
      </w:pPr>
      <w:r>
        <w:rPr>
          <w:lang w:val="ru-RU"/>
        </w:rPr>
        <w:t>11.2. В случае заключения договора аренды на неопределенный срок</w:t>
      </w:r>
      <w:r>
        <w:rPr/>
        <w:t> </w:t>
      </w:r>
      <w:r>
        <w:rPr>
          <w:lang w:val="ru-RU"/>
        </w:rPr>
        <w:t>объекты учета, в том числе доходы и расходы будущих периодов, рассчитываются по принципу допущения непрерывности деятельности учреждения, принимая во внимание период бюджетного цикла три года</w:t>
      </w:r>
      <w:r>
        <w:rPr/>
        <w:t> </w:t>
      </w:r>
      <w:r>
        <w:rPr>
          <w:lang w:val="ru-RU"/>
        </w:rPr>
        <w:t>и размер арендных платежей, указанный в договоре.</w:t>
      </w:r>
      <w:r/>
    </w:p>
    <w:p>
      <w:pPr>
        <w:pStyle w:val="Style12"/>
        <w:jc w:val="both"/>
      </w:pPr>
      <w:r>
        <w:rPr>
          <w:lang w:val="ru-RU"/>
        </w:rPr>
        <w:t>11.3. Доходы от оказания платных услуг по долгосрочным договорам, срок исполнения которых превышает один год, признаются в учете в составе доходов будущих периодов в сумме договора. Доходы будущих периодов признаются в текущих доходах равномерно в последний день каждого месяца в разрезе каждого договора. Аналогичный порядок признания доходов в текущем периоде применяется к договорам, в соответствии с которыми услуги оказываются неравномерно.</w:t>
        <w:br/>
        <w:t xml:space="preserve"> Основание: пункт 301 Инструкции к Единому плану счетов № 157н, пункт 11 СГС «Долгосрочные договоры».</w:t>
      </w:r>
      <w:r/>
    </w:p>
    <w:p>
      <w:pPr>
        <w:pStyle w:val="Style12"/>
        <w:jc w:val="both"/>
      </w:pPr>
      <w:r>
        <w:rPr>
          <w:lang w:val="ru-RU"/>
        </w:rPr>
        <w:t>11.4. В отношении платных услуг, по которым срок действия договора менее года, а даты начала и окончания исполнения договора приходятся на разные отчетные годы, учреждение применяет положения СГС«Долгосрочныедоговоры».</w:t>
        <w:br/>
        <w:t xml:space="preserve"> Основание: пункт 5 СГС «Долгосрочные договоры».</w:t>
      </w:r>
      <w:r/>
    </w:p>
    <w:p>
      <w:pPr>
        <w:pStyle w:val="Style12"/>
        <w:jc w:val="both"/>
      </w:pPr>
      <w:r>
        <w:rPr>
          <w:lang w:val="ru-RU"/>
        </w:rPr>
        <w:t>11.5. В случае исполнения договора строительного подряда учреждение определяет процент исполнения договора в целях признания доходов в текущем периоде</w:t>
      </w:r>
      <w:r>
        <w:rPr/>
        <w:t> </w:t>
      </w:r>
      <w:r>
        <w:rPr>
          <w:lang w:val="ru-RU"/>
        </w:rPr>
        <w:t>как соотношение расходов, понесенных в связи с выполненным на конец отчетного периода объемом работ и предусмотренных сводным сметным расчетом, к общей величине расходов по долгосрочному договору строительного подряда, предусмотренной сводным сметным расчетом.</w:t>
        <w:br/>
        <w:t xml:space="preserve"> Основание: пункт 6 СГС «Долгосрочные договоры».</w:t>
      </w:r>
      <w:r/>
    </w:p>
    <w:p>
      <w:pPr>
        <w:pStyle w:val="Style12"/>
        <w:jc w:val="both"/>
        <w:rPr>
          <w:sz w:val="24"/>
          <w:sz w:val="24"/>
          <w:szCs w:val="24"/>
          <w:color w:val="000000"/>
          <w:lang w:val="ru-RU"/>
        </w:rPr>
      </w:pPr>
      <w:r>
        <w:rPr>
          <w:lang w:val="ru-RU"/>
        </w:rPr>
        <w:t>11.6. В составе расходов будущих периодов на счете КБК Х.401.50.000 «Расходы будущих периодов» отражаются:</w:t>
      </w:r>
      <w:r/>
    </w:p>
    <w:p>
      <w:pPr>
        <w:pStyle w:val="Style12"/>
        <w:numPr>
          <w:ilvl w:val="0"/>
          <w:numId w:val="21"/>
        </w:numPr>
        <w:jc w:val="both"/>
        <w:rPr>
          <w:sz w:val="24"/>
          <w:sz w:val="24"/>
          <w:szCs w:val="24"/>
          <w:color w:val="000000"/>
          <w:lang w:val="ru-RU"/>
        </w:rPr>
      </w:pPr>
      <w:r>
        <w:rPr>
          <w:lang w:val="ru-RU"/>
        </w:rPr>
        <w:t>расходы на страхование имущества, гражданской ответственности;</w:t>
      </w:r>
      <w:r/>
    </w:p>
    <w:p>
      <w:pPr>
        <w:pStyle w:val="Style12"/>
        <w:numPr>
          <w:ilvl w:val="0"/>
          <w:numId w:val="21"/>
        </w:numPr>
        <w:jc w:val="both"/>
        <w:rPr>
          <w:sz w:val="24"/>
          <w:sz w:val="24"/>
          <w:szCs w:val="24"/>
          <w:color w:val="000000"/>
          <w:lang w:val="ru-RU"/>
        </w:rPr>
      </w:pPr>
      <w:r>
        <w:rPr>
          <w:lang w:val="ru-RU"/>
        </w:rPr>
        <w:t>отпускные, если сотрудник не отработал период, за который предоставили отпуск;</w:t>
      </w:r>
      <w:r/>
    </w:p>
    <w:p>
      <w:pPr>
        <w:pStyle w:val="Style12"/>
        <w:numPr>
          <w:ilvl w:val="0"/>
          <w:numId w:val="21"/>
        </w:numPr>
        <w:jc w:val="both"/>
        <w:rPr>
          <w:sz w:val="24"/>
          <w:sz w:val="24"/>
          <w:szCs w:val="24"/>
          <w:color w:val="000000"/>
          <w:lang w:val="ru-RU"/>
        </w:rPr>
      </w:pPr>
      <w:r>
        <w:rPr>
          <w:lang w:val="ru-RU"/>
        </w:rPr>
        <w:t>плата за сертификат ключа ЭЦП;</w:t>
      </w:r>
      <w:r/>
    </w:p>
    <w:p>
      <w:pPr>
        <w:pStyle w:val="Style12"/>
        <w:numPr>
          <w:ilvl w:val="0"/>
          <w:numId w:val="21"/>
        </w:numPr>
        <w:jc w:val="both"/>
        <w:rPr>
          <w:sz w:val="24"/>
          <w:sz w:val="24"/>
          <w:szCs w:val="24"/>
          <w:color w:val="000000"/>
          <w:lang w:val="ru-RU"/>
        </w:rPr>
      </w:pPr>
      <w:r>
        <w:rPr>
          <w:lang w:val="ru-RU"/>
        </w:rPr>
        <w:t>упущенная выгода</w:t>
      </w:r>
      <w:r>
        <w:rPr/>
        <w:t> </w:t>
      </w:r>
      <w:r>
        <w:rPr>
          <w:lang w:val="ru-RU"/>
        </w:rPr>
        <w:t>от сдачи объектов в аренду на льготных условиях;</w:t>
      </w:r>
      <w:r/>
    </w:p>
    <w:p>
      <w:pPr>
        <w:pStyle w:val="Style12"/>
        <w:jc w:val="both"/>
        <w:rPr>
          <w:sz w:val="24"/>
          <w:sz w:val="24"/>
          <w:szCs w:val="24"/>
          <w:color w:val="000000"/>
          <w:lang w:val="ru-RU"/>
        </w:rPr>
      </w:pPr>
      <w:r>
        <w:rPr>
          <w:lang w:val="ru-RU"/>
        </w:rPr>
        <w:t>Расходы будущих периодов списываются на финансовый результат текущего финансового года равномерно по 1/12 за месяц в течение периода, к которому они относятся.</w:t>
      </w:r>
      <w:r/>
    </w:p>
    <w:p>
      <w:pPr>
        <w:pStyle w:val="Style12"/>
        <w:jc w:val="both"/>
        <w:rPr>
          <w:sz w:val="24"/>
          <w:sz w:val="24"/>
          <w:szCs w:val="24"/>
          <w:color w:val="000000"/>
          <w:lang w:val="ru-RU"/>
        </w:rPr>
      </w:pPr>
      <w:r>
        <w:rPr>
          <w:lang w:val="ru-RU"/>
        </w:rPr>
        <w:t>По договорам страхования период, к которому относятся расходы, равен сроку действия договора. По другим расходам, которые относятся к будущим периодам, длительность периода устанавливается руководителем учреждения в приказе.</w:t>
      </w:r>
      <w:r/>
    </w:p>
    <w:p>
      <w:pPr>
        <w:pStyle w:val="Style12"/>
        <w:jc w:val="both"/>
        <w:rPr>
          <w:sz w:val="24"/>
          <w:sz w:val="24"/>
          <w:szCs w:val="24"/>
          <w:color w:val="000000"/>
          <w:lang w:val="ru-RU"/>
        </w:rPr>
      </w:pPr>
      <w:r>
        <w:rPr>
          <w:lang w:val="ru-RU"/>
        </w:rPr>
        <w:t>Основание: пункты 302, 302.1 Инструкции к Единому плану счетов № 157н.</w:t>
      </w:r>
      <w:r/>
    </w:p>
    <w:p>
      <w:pPr>
        <w:pStyle w:val="Style12"/>
        <w:jc w:val="both"/>
        <w:rPr>
          <w:sz w:val="24"/>
          <w:sz w:val="24"/>
          <w:szCs w:val="24"/>
          <w:color w:val="000000"/>
          <w:lang w:val="ru-RU"/>
        </w:rPr>
      </w:pPr>
      <w:r>
        <w:rPr>
          <w:lang w:val="ru-RU"/>
        </w:rPr>
        <w:t>11.7. В учреждениях создаются:</w:t>
      </w:r>
      <w:r/>
    </w:p>
    <w:p>
      <w:pPr>
        <w:pStyle w:val="Style12"/>
        <w:jc w:val="both"/>
      </w:pPr>
      <w:r>
        <w:rPr>
          <w:lang w:val="ru-RU"/>
        </w:rPr>
        <w:t xml:space="preserve">– </w:t>
      </w:r>
      <w:r>
        <w:rPr>
          <w:lang w:val="ru-RU"/>
        </w:rPr>
        <w:t>резерв расходов по выплатам персоналу. Расчитывается за фактически отработанное время ежегодно, на конец отчетного периода, исходя из данных количества дней неиспользованного отпуска по всем сотрудникам на указанную дату. Резерв при этом рассчитывается персонифицировано по каждому сотруднику ежегодно, как сумма оплаты отпусков работникам за фактически отработанное время, на дату расчета и сумма страховых взносов на обязательное пенсионное страхование, обязательное социальное страхование на случай временной нетрудоспособности и в связи с материнством, обязательное медмцинское страхование, обязательное социальное страхование от несчастных случаев на производстве и профессиональных заболеваний. Данные о количестве дней ниспользованного отпуска предоставляет ответственный за ведение трудовых книжек. Сумма резерва отраженная в бухгалтерском учете до отчетной даты, корректируется до величены вновь рассчитанного резерва в сторону уменьшения- проводками, оформленными методом «красное сторно».;</w:t>
        <w:br/>
        <w:t xml:space="preserve"> – резерв по искам, претензионным требованиям – в случае, когда учреждение является стороной судебного разбирательства. Величина резерва устанавливается в размере претензии, предъявленной учреждению в судебном иске</w:t>
      </w:r>
      <w:r>
        <w:rPr/>
        <w:t> </w:t>
      </w:r>
      <w:r>
        <w:rPr>
          <w:lang w:val="ru-RU"/>
        </w:rPr>
        <w:t>либо в претензионных документах досудебного разбирательства. В случае если претензии отозваны или не признаны судом, сумма резерва списывается с учета методом «красное сторно»;</w:t>
        <w:br/>
        <w:t>–</w:t>
      </w:r>
      <w:r>
        <w:rPr/>
        <w:t> </w:t>
      </w:r>
      <w:r>
        <w:rPr>
          <w:lang w:val="ru-RU"/>
        </w:rPr>
        <w:t>резерв по гарантийному ремонту. Определяется на текущий год в первый рабочий день года на основе плановых показателей годовой выручки от реализации подлежащих гарантийному ремонту изделий. Величина резерва равна доле фактических расходов на гарантийный ремонт за предшествующие три года в объеме выручки за предшествующие три года.</w:t>
        <w:br/>
        <w:t xml:space="preserve"> Основание: пункты 302, 302.1 Инструкции к Единому плану счетов № 157н, пункты 7, 21 СГС</w:t>
        <w:br/>
        <w:t xml:space="preserve"> «Резервы».</w:t>
      </w:r>
      <w:r/>
    </w:p>
    <w:p>
      <w:pPr>
        <w:pStyle w:val="Style12"/>
        <w:jc w:val="both"/>
        <w:rPr>
          <w:sz w:val="24"/>
          <w:sz w:val="24"/>
          <w:szCs w:val="24"/>
          <w:color w:val="000000"/>
          <w:lang w:val="ru-RU"/>
        </w:rPr>
      </w:pPr>
      <w:r>
        <w:rPr>
          <w:lang w:val="ru-RU"/>
        </w:rPr>
        <w:t>12.</w:t>
      </w:r>
      <w:r>
        <w:rPr/>
        <w:t> </w:t>
      </w:r>
      <w:r>
        <w:rPr>
          <w:lang w:val="ru-RU"/>
        </w:rPr>
        <w:t>События после отчетной даты</w:t>
      </w:r>
      <w:r/>
    </w:p>
    <w:p>
      <w:pPr>
        <w:pStyle w:val="Style12"/>
        <w:jc w:val="both"/>
        <w:rPr>
          <w:sz w:val="24"/>
          <w:sz w:val="24"/>
          <w:szCs w:val="24"/>
          <w:color w:val="000000"/>
          <w:lang w:val="ru-RU"/>
        </w:rPr>
      </w:pPr>
      <w:r>
        <w:rPr>
          <w:lang w:val="ru-RU"/>
        </w:rPr>
        <w:t>12.1. В данные бухгалтерского учета за отчетный период включается информация о событиях</w:t>
      </w:r>
      <w:r>
        <w:rPr/>
        <w:t> </w:t>
      </w:r>
      <w:r>
        <w:rPr>
          <w:lang w:val="ru-RU"/>
        </w:rPr>
        <w:t>после отчетной даты – существенных фактах хозяйственной жизни, которые произошли в</w:t>
      </w:r>
      <w:r>
        <w:rPr/>
        <w:t> </w:t>
      </w:r>
      <w:r>
        <w:rPr>
          <w:lang w:val="ru-RU"/>
        </w:rPr>
        <w:t>период между отчетной датой и датой подписания или принятия бухгалтерской (финансовой)</w:t>
      </w:r>
      <w:r>
        <w:rPr/>
        <w:t> </w:t>
      </w:r>
      <w:r>
        <w:rPr>
          <w:lang w:val="ru-RU"/>
        </w:rPr>
        <w:t>отчетности и оказали или могут оказать существенное влияние на финансовое состояние,</w:t>
      </w:r>
      <w:r>
        <w:rPr/>
        <w:t> </w:t>
      </w:r>
      <w:r>
        <w:rPr>
          <w:lang w:val="ru-RU"/>
        </w:rPr>
        <w:t>движение денег или результаты деятельности учреждения (далее – События).</w:t>
      </w:r>
      <w:r/>
    </w:p>
    <w:p>
      <w:pPr>
        <w:pStyle w:val="Style12"/>
        <w:jc w:val="both"/>
        <w:rPr>
          <w:sz w:val="24"/>
          <w:sz w:val="24"/>
          <w:szCs w:val="24"/>
          <w:color w:val="000000"/>
          <w:lang w:val="ru-RU"/>
        </w:rPr>
      </w:pPr>
      <w:r>
        <w:rPr>
          <w:lang w:val="ru-RU"/>
        </w:rPr>
        <w:t>Факт хозяйственной жизни признается существенным, если без знания о нем пользователи отчетности не могут достоверно оценить финансовое состояние, движение денежных средств</w:t>
      </w:r>
      <w:r>
        <w:rPr/>
        <w:t> </w:t>
      </w:r>
      <w:r>
        <w:rPr>
          <w:lang w:val="ru-RU"/>
        </w:rPr>
        <w:t>или результаты деятельности учреждения. Оценивает существенность влияний и</w:t>
      </w:r>
      <w:r>
        <w:rPr/>
        <w:t> </w:t>
      </w:r>
      <w:r>
        <w:rPr>
          <w:lang w:val="ru-RU"/>
        </w:rPr>
        <w:t>квалифицирует событие как событие после отчетной даты главный бухгалтер централизованной бухгалтерии на основе</w:t>
      </w:r>
      <w:r>
        <w:rPr/>
        <w:t> </w:t>
      </w:r>
      <w:r>
        <w:rPr>
          <w:lang w:val="ru-RU"/>
        </w:rPr>
        <w:t>своего профессионального суждения.</w:t>
      </w:r>
      <w:r/>
    </w:p>
    <w:p>
      <w:pPr>
        <w:pStyle w:val="Style12"/>
        <w:jc w:val="both"/>
        <w:rPr>
          <w:sz w:val="24"/>
          <w:sz w:val="24"/>
          <w:szCs w:val="24"/>
          <w:color w:val="000000"/>
          <w:lang w:val="ru-RU"/>
        </w:rPr>
      </w:pPr>
      <w:r>
        <w:rPr>
          <w:lang w:val="ru-RU"/>
        </w:rPr>
        <w:t>12.2. Событиями после отчетной даты признаются:</w:t>
      </w:r>
      <w:r/>
    </w:p>
    <w:p>
      <w:pPr>
        <w:pStyle w:val="Style12"/>
        <w:numPr>
          <w:ilvl w:val="0"/>
          <w:numId w:val="22"/>
        </w:numPr>
        <w:jc w:val="both"/>
        <w:rPr>
          <w:sz w:val="24"/>
          <w:sz w:val="24"/>
          <w:szCs w:val="24"/>
          <w:color w:val="000000"/>
          <w:lang w:val="ru-RU"/>
        </w:rPr>
      </w:pPr>
      <w:r>
        <w:rPr>
          <w:lang w:val="ru-RU"/>
        </w:rPr>
        <w:t>события, которые подтверждают существовавшие на отчетную дату хозяйственные условия учреждения. Централизованная бухгалтерия применяет перечень таких событий, приведенный в пункте7 СГС «События после отчетной даты»;</w:t>
      </w:r>
      <w:r/>
    </w:p>
    <w:p>
      <w:pPr>
        <w:pStyle w:val="Style12"/>
        <w:numPr>
          <w:ilvl w:val="0"/>
          <w:numId w:val="22"/>
        </w:numPr>
        <w:jc w:val="both"/>
        <w:rPr>
          <w:sz w:val="24"/>
          <w:sz w:val="24"/>
          <w:szCs w:val="24"/>
          <w:color w:val="000000"/>
          <w:lang w:val="ru-RU"/>
        </w:rPr>
      </w:pPr>
      <w:r>
        <w:rPr>
          <w:lang w:val="ru-RU"/>
        </w:rPr>
        <w:t>события,</w:t>
      </w:r>
      <w:r>
        <w:rPr/>
        <w:t> </w:t>
      </w:r>
      <w:r>
        <w:rPr>
          <w:lang w:val="ru-RU"/>
        </w:rPr>
        <w:t>которые указывают на условия хозяйственной деятельности, факты хозяйственной жизни или обстоятельства, возникшие после отчетной даты. Централизованная бухгалтерия</w:t>
      </w:r>
      <w:r>
        <w:rPr/>
        <w:t> </w:t>
      </w:r>
      <w:r>
        <w:rPr>
          <w:lang w:val="ru-RU"/>
        </w:rPr>
        <w:t>применяет перечень таких событий, приведенный в пункте 7 СГС «События после отчетной</w:t>
      </w:r>
      <w:r>
        <w:rPr/>
        <w:t> </w:t>
      </w:r>
      <w:r>
        <w:rPr>
          <w:lang w:val="ru-RU"/>
        </w:rPr>
        <w:t>даты».</w:t>
      </w:r>
      <w:r/>
    </w:p>
    <w:p>
      <w:pPr>
        <w:pStyle w:val="Style12"/>
        <w:jc w:val="both"/>
        <w:rPr>
          <w:sz w:val="24"/>
          <w:sz w:val="24"/>
          <w:szCs w:val="24"/>
          <w:color w:val="000000"/>
          <w:lang w:val="ru-RU"/>
        </w:rPr>
      </w:pPr>
      <w:r>
        <w:rPr>
          <w:lang w:val="ru-RU"/>
        </w:rPr>
        <w:t>12.3. Событие отражается в учете и отчетности в следующем порядке:</w:t>
      </w:r>
      <w:r/>
    </w:p>
    <w:p>
      <w:pPr>
        <w:pStyle w:val="Style12"/>
        <w:jc w:val="both"/>
        <w:rPr>
          <w:sz w:val="24"/>
          <w:sz w:val="24"/>
          <w:szCs w:val="24"/>
          <w:color w:val="000000"/>
        </w:rPr>
      </w:pPr>
      <w:r>
        <w:rPr>
          <w:lang w:val="ru-RU"/>
        </w:rPr>
        <w:t>12.3.1. Событие, которое подтверждает хозяйственные условия, существовавшие на отчетную</w:t>
      </w:r>
      <w:r>
        <w:rPr/>
        <w:t> </w:t>
      </w:r>
      <w:r>
        <w:rPr>
          <w:lang w:val="ru-RU"/>
        </w:rPr>
        <w:t xml:space="preserve">дату, отражается в учете отчетного периода. </w:t>
      </w:r>
      <w:r>
        <w:rPr/>
        <w:t>При этом делается:</w:t>
      </w:r>
      <w:r/>
    </w:p>
    <w:p>
      <w:pPr>
        <w:pStyle w:val="Style12"/>
        <w:numPr>
          <w:ilvl w:val="0"/>
          <w:numId w:val="23"/>
        </w:numPr>
        <w:jc w:val="both"/>
        <w:rPr>
          <w:sz w:val="24"/>
          <w:sz w:val="24"/>
          <w:szCs w:val="24"/>
          <w:color w:val="000000"/>
          <w:lang w:val="ru-RU"/>
        </w:rPr>
      </w:pPr>
      <w:r>
        <w:rPr>
          <w:lang w:val="ru-RU"/>
        </w:rPr>
        <w:t>дополнительная бухгалтерская запись, которая отражает это событие;</w:t>
      </w:r>
      <w:r/>
    </w:p>
    <w:p>
      <w:pPr>
        <w:pStyle w:val="Style12"/>
        <w:numPr>
          <w:ilvl w:val="0"/>
          <w:numId w:val="23"/>
        </w:numPr>
        <w:jc w:val="both"/>
        <w:rPr>
          <w:sz w:val="24"/>
          <w:sz w:val="24"/>
          <w:szCs w:val="24"/>
          <w:color w:val="000000"/>
          <w:lang w:val="ru-RU"/>
        </w:rPr>
      </w:pPr>
      <w:r>
        <w:rPr>
          <w:lang w:val="ru-RU"/>
        </w:rPr>
        <w:t>либо запись способом «красное сторно» и (или) дополнительная бухгалтерская запись на сумму, отраженную в бухгалтерском учете.</w:t>
      </w:r>
      <w:r/>
    </w:p>
    <w:p>
      <w:pPr>
        <w:pStyle w:val="Style12"/>
        <w:jc w:val="both"/>
        <w:rPr>
          <w:sz w:val="24"/>
          <w:sz w:val="24"/>
          <w:szCs w:val="24"/>
          <w:color w:val="000000"/>
          <w:lang w:val="ru-RU"/>
        </w:rPr>
      </w:pPr>
      <w:r>
        <w:rPr>
          <w:lang w:val="ru-RU"/>
        </w:rPr>
        <w:t>События отражаются в регистрах бухгалтерского учета в последний день отчетного периода до заключительных операций по закрытию счетов. Данные бухгалтерского учета отражаются в соответствующих формах отчетности с учетом событий после отчетной даты.</w:t>
      </w:r>
      <w:r/>
    </w:p>
    <w:p>
      <w:pPr>
        <w:pStyle w:val="Style12"/>
        <w:jc w:val="both"/>
      </w:pPr>
      <w:r>
        <w:rPr>
          <w:lang w:val="ru-RU"/>
        </w:rPr>
        <w:t>12.3.2. Событие, указывающее на возникшие после отчетной даты хозяйственные условия, отражается в бухгалтерском учете периода, следующего за отчетным. Аналогичным образом отражается событие, которое не отражено в учете и отчетности отчетного периода из-за соблюдения сроков представления отчетности или из-за позднего поступления первичных учетных документов. При этом информация о таком событии и его денежная оценка приводятся в разделе 5 текстовой части пояснительной записки.</w:t>
      </w:r>
      <w:r/>
    </w:p>
    <w:p>
      <w:pPr>
        <w:pStyle w:val="Style12"/>
        <w:jc w:val="both"/>
        <w:rPr>
          <w:sz w:val="24"/>
          <w:sz w:val="24"/>
          <w:szCs w:val="24"/>
          <w:color w:val="000000"/>
          <w:lang w:val="ru-RU"/>
        </w:rPr>
      </w:pPr>
      <w:r>
        <w:rPr>
          <w:b/>
          <w:bCs/>
        </w:rPr>
        <w:t>V</w:t>
      </w:r>
      <w:r>
        <w:rPr>
          <w:b/>
          <w:bCs/>
          <w:lang w:val="ru-RU"/>
        </w:rPr>
        <w:t>. Бухгалтерская (финансовая) отчетность</w:t>
      </w:r>
      <w:r/>
    </w:p>
    <w:p>
      <w:pPr>
        <w:pStyle w:val="Style12"/>
        <w:jc w:val="both"/>
        <w:rPr>
          <w:sz w:val="24"/>
          <w:sz w:val="24"/>
          <w:szCs w:val="24"/>
          <w:color w:val="000000"/>
          <w:lang w:val="ru-RU"/>
        </w:rPr>
      </w:pPr>
      <w:r>
        <w:rPr>
          <w:lang w:val="ru-RU"/>
        </w:rPr>
        <w:t>1. Централизованная бухгалтерия формирует бухгалтерскую (бюджетную) отчетность учреждений</w:t>
      </w:r>
      <w:r>
        <w:rPr/>
        <w:t> </w:t>
      </w:r>
      <w:r>
        <w:rPr>
          <w:lang w:val="ru-RU"/>
        </w:rPr>
        <w:t>в 1С Предприятие</w:t>
      </w:r>
      <w:r/>
    </w:p>
    <w:p>
      <w:pPr>
        <w:pStyle w:val="Style12"/>
        <w:jc w:val="both"/>
        <w:rPr>
          <w:sz w:val="24"/>
          <w:sz w:val="24"/>
          <w:szCs w:val="24"/>
          <w:color w:val="000000"/>
          <w:lang w:val="ru-RU"/>
        </w:rPr>
      </w:pPr>
      <w:r>
        <w:rPr>
          <w:lang w:val="ru-RU"/>
        </w:rPr>
        <w:t>2. В пояснениях к отчетности за отчетный период раскрывается:</w:t>
      </w:r>
      <w:r/>
    </w:p>
    <w:p>
      <w:pPr>
        <w:pStyle w:val="Style12"/>
        <w:numPr>
          <w:ilvl w:val="0"/>
          <w:numId w:val="24"/>
        </w:numPr>
        <w:jc w:val="both"/>
        <w:rPr>
          <w:sz w:val="24"/>
          <w:sz w:val="24"/>
          <w:szCs w:val="24"/>
          <w:color w:val="000000"/>
          <w:lang w:val="ru-RU"/>
        </w:rPr>
      </w:pPr>
      <w:r>
        <w:rPr>
          <w:lang w:val="ru-RU"/>
        </w:rPr>
        <w:t>представленная учреждениями информация об условиях хозяйственной жизни, существующих на отчетную дату, если такая информация подлежит раскрытию в отчетности;</w:t>
      </w:r>
      <w:r/>
    </w:p>
    <w:p>
      <w:pPr>
        <w:pStyle w:val="Style12"/>
        <w:numPr>
          <w:ilvl w:val="0"/>
          <w:numId w:val="24"/>
        </w:numPr>
        <w:jc w:val="both"/>
        <w:rPr>
          <w:sz w:val="24"/>
          <w:sz w:val="24"/>
          <w:szCs w:val="24"/>
          <w:color w:val="000000"/>
          <w:lang w:val="ru-RU"/>
        </w:rPr>
      </w:pPr>
      <w:r>
        <w:rPr>
          <w:lang w:val="ru-RU"/>
        </w:rPr>
        <w:t>информация о событиях после отчетной даты, свидетельствующая о возникших после отчетной даты условиях хозяйственной жизни учреждения. В частности, описывается само событие и дается оценка его последствий в денежном выражении. При невозможности произвести денежную оценку</w:t>
      </w:r>
      <w:r>
        <w:rPr/>
        <w:t> </w:t>
      </w:r>
      <w:r>
        <w:rPr>
          <w:lang w:val="ru-RU"/>
        </w:rPr>
        <w:t>на это указывается вместе с причинами, по которым сделать это невозможно.</w:t>
      </w:r>
      <w:r/>
    </w:p>
    <w:p>
      <w:pPr>
        <w:pStyle w:val="Style12"/>
        <w:jc w:val="both"/>
        <w:rPr>
          <w:sz w:val="24"/>
          <w:sz w:val="24"/>
          <w:szCs w:val="24"/>
          <w:color w:val="000000"/>
          <w:lang w:val="ru-RU"/>
        </w:rPr>
      </w:pPr>
      <w:r>
        <w:rPr>
          <w:lang w:val="ru-RU"/>
        </w:rPr>
        <w:t>3. В целях составления отчета о движении денежных средств величина денежных средств определяется прямым методом и рассчитывается как разница между всеми денежными притоками учреждения от всех видов деятельности и их оттоками.</w:t>
      </w:r>
      <w:r/>
    </w:p>
    <w:p>
      <w:pPr>
        <w:pStyle w:val="Style12"/>
        <w:jc w:val="both"/>
        <w:rPr>
          <w:sz w:val="24"/>
          <w:sz w:val="24"/>
          <w:szCs w:val="24"/>
          <w:color w:val="000000"/>
          <w:lang w:val="ru-RU"/>
        </w:rPr>
      </w:pPr>
      <w:r>
        <w:rPr>
          <w:b/>
          <w:bCs/>
        </w:rPr>
        <w:t>VI</w:t>
      </w:r>
      <w:r>
        <w:rPr>
          <w:b/>
          <w:bCs/>
          <w:lang w:val="ru-RU"/>
        </w:rPr>
        <w:t>. Порядок внесения изменений в единую учетную политику централизованного бухгалтерского учета</w:t>
      </w:r>
      <w:r/>
    </w:p>
    <w:p>
      <w:pPr>
        <w:pStyle w:val="Style12"/>
        <w:jc w:val="both"/>
        <w:rPr>
          <w:sz w:val="24"/>
          <w:sz w:val="24"/>
          <w:szCs w:val="24"/>
          <w:color w:val="000000"/>
          <w:lang w:val="ru-RU"/>
        </w:rPr>
      </w:pPr>
      <w:r>
        <w:rPr>
          <w:lang w:val="ru-RU"/>
        </w:rPr>
        <w:t>Внесение изменений в единую учетную политику централизованного бухгалтерского учета осуществляется централизованной бухгалтерией в случаях:</w:t>
      </w:r>
      <w:r/>
    </w:p>
    <w:p>
      <w:pPr>
        <w:pStyle w:val="Style12"/>
        <w:jc w:val="both"/>
        <w:rPr>
          <w:sz w:val="24"/>
          <w:sz w:val="24"/>
          <w:szCs w:val="24"/>
          <w:color w:val="000000"/>
          <w:lang w:val="ru-RU"/>
        </w:rPr>
      </w:pPr>
      <w:r>
        <w:rPr>
          <w:lang w:val="ru-RU"/>
        </w:rPr>
        <w:t>а) изменения законодательства Российской Федерации о бухгалтерском учете, бюджетного законодательства Российской Федерации, нормативных правовых актов, регулирующих ведение бухгалтерского (бюджетного) учета и составление бухгалтерской (финансовой) отчетности;</w:t>
      </w:r>
      <w:r/>
    </w:p>
    <w:p>
      <w:pPr>
        <w:pStyle w:val="Style12"/>
        <w:jc w:val="both"/>
        <w:rPr>
          <w:sz w:val="24"/>
          <w:sz w:val="24"/>
          <w:szCs w:val="24"/>
          <w:color w:val="000000"/>
          <w:lang w:val="ru-RU"/>
        </w:rPr>
      </w:pPr>
      <w:r>
        <w:rPr>
          <w:lang w:val="ru-RU"/>
        </w:rPr>
        <w:t>б) разработки</w:t>
      </w:r>
      <w:r>
        <w:rPr/>
        <w:t> </w:t>
      </w:r>
      <w:r>
        <w:rPr>
          <w:lang w:val="ru-RU"/>
        </w:rPr>
        <w:t>и выбора централизованной бухгалтерией новых правил (способов) ведения бухгалтерского учета, применение которых позволит представить в бухгалтерской (финансовой) отчетности релевантную и достоверную информацию;</w:t>
      </w:r>
      <w:r/>
    </w:p>
    <w:p>
      <w:pPr>
        <w:pStyle w:val="Style12"/>
        <w:jc w:val="both"/>
        <w:rPr>
          <w:sz w:val="24"/>
          <w:sz w:val="24"/>
          <w:szCs w:val="24"/>
          <w:color w:val="000000"/>
          <w:lang w:val="ru-RU"/>
        </w:rPr>
      </w:pPr>
      <w:r>
        <w:rPr>
          <w:lang w:val="ru-RU"/>
        </w:rPr>
        <w:t>в) существенного изменения условий деятельности учреждений – субъектов централизованного учета, включая их реорганизацию, ликвидацию (упразднение), изменение возложенных на них полномочий и (или) выполняемых ими функций;</w:t>
      </w:r>
      <w:r/>
    </w:p>
    <w:p>
      <w:pPr>
        <w:pStyle w:val="Style12"/>
        <w:jc w:val="both"/>
        <w:rPr>
          <w:sz w:val="24"/>
          <w:sz w:val="24"/>
          <w:szCs w:val="24"/>
          <w:color w:val="000000"/>
          <w:lang w:val="ru-RU"/>
        </w:rPr>
      </w:pPr>
      <w:r>
        <w:rPr>
          <w:lang w:val="ru-RU"/>
        </w:rPr>
        <w:t>г) поступления предложений по совершенствованию методов ведения централизованного бухгалтерского учета от учреждений в целях обеспечения их информацией об активах, обязательствах и финансовом результате, необходимой для исполнения возложенных на них функций;</w:t>
      </w:r>
      <w:r/>
    </w:p>
    <w:p>
      <w:pPr>
        <w:pStyle w:val="Style12"/>
        <w:jc w:val="both"/>
        <w:rPr>
          <w:sz w:val="24"/>
          <w:sz w:val="24"/>
          <w:szCs w:val="24"/>
          <w:color w:val="000000"/>
          <w:lang w:val="ru-RU"/>
        </w:rPr>
      </w:pPr>
      <w:r>
        <w:rPr>
          <w:lang w:val="ru-RU"/>
        </w:rPr>
        <w:t>д) поступления предложений от учредителей учреждений, финансового органа в целях совершенствования методов ведения централизованного бухгалтерского учета.</w:t>
      </w:r>
      <w:r/>
    </w:p>
    <w:p>
      <w:pPr>
        <w:pStyle w:val="Style12"/>
        <w:jc w:val="both"/>
        <w:rPr>
          <w:sz w:val="24"/>
          <w:sz w:val="24"/>
          <w:szCs w:val="24"/>
          <w:color w:val="000000"/>
          <w:lang w:val="ru-RU"/>
        </w:rPr>
      </w:pPr>
      <w:r>
        <w:rPr>
          <w:lang w:val="ru-RU"/>
        </w:rPr>
        <w:t>Изменения ведения централизованного бухгалтерского учета применяются с начала отчетного года, если иное не обусловливается причиной такого изменения.</w:t>
      </w:r>
      <w:r/>
    </w:p>
    <w:p>
      <w:pPr>
        <w:pStyle w:val="Style12"/>
        <w:jc w:val="both"/>
        <w:rPr>
          <w:sz w:val="24"/>
          <w:sz w:val="24"/>
          <w:szCs w:val="24"/>
          <w:color w:val="000000"/>
          <w:lang w:val="ru-RU"/>
        </w:rPr>
      </w:pPr>
      <w:r>
        <w:rPr>
          <w:lang w:val="ru-RU"/>
        </w:rPr>
        <w:t>Изменение ведения централизованного бухгалтерского учета в течение отчетного года, не связанное с изменением нормативных правовых актов, регулирующих ведение бюджетного учета и составление бюджетной отчетности, производится по решению финансового органа.</w:t>
      </w:r>
      <w:r/>
    </w:p>
    <w:p>
      <w:pPr>
        <w:pStyle w:val="Style12"/>
        <w:jc w:val="both"/>
        <w:rPr>
          <w:sz w:val="24"/>
          <w:sz w:val="24"/>
          <w:szCs w:val="24"/>
          <w:color w:val="000000"/>
          <w:lang w:val="ru-RU"/>
        </w:rPr>
      </w:pPr>
      <w:r>
        <w:rPr>
          <w:lang w:val="ru-RU"/>
        </w:rPr>
        <w:t>Внесение изменений в единую учетную политику по предложениям учреждений, их учредителей, финансового органа (далее – инициатор изменений) осуществляется с учетом следующих положений.</w:t>
      </w:r>
      <w:r/>
    </w:p>
    <w:p>
      <w:pPr>
        <w:pStyle w:val="Style12"/>
        <w:jc w:val="both"/>
        <w:rPr>
          <w:sz w:val="24"/>
          <w:sz w:val="24"/>
          <w:szCs w:val="24"/>
          <w:color w:val="000000"/>
          <w:lang w:val="ru-RU"/>
        </w:rPr>
      </w:pPr>
      <w:r>
        <w:rPr>
          <w:lang w:val="ru-RU"/>
        </w:rPr>
        <w:t>В предложения по изменению единой</w:t>
      </w:r>
      <w:r>
        <w:rPr/>
        <w:t> </w:t>
      </w:r>
      <w:r>
        <w:rPr>
          <w:lang w:val="ru-RU"/>
        </w:rPr>
        <w:t>учетной</w:t>
      </w:r>
      <w:r>
        <w:rPr/>
        <w:t> </w:t>
      </w:r>
      <w:r>
        <w:rPr>
          <w:lang w:val="ru-RU"/>
        </w:rPr>
        <w:t>политики, подготовленные инициатором изменений, включается следующая информация:</w:t>
      </w:r>
      <w:r/>
    </w:p>
    <w:p>
      <w:pPr>
        <w:pStyle w:val="Style12"/>
        <w:numPr>
          <w:ilvl w:val="0"/>
          <w:numId w:val="25"/>
        </w:numPr>
        <w:jc w:val="both"/>
        <w:rPr>
          <w:sz w:val="24"/>
          <w:sz w:val="24"/>
          <w:szCs w:val="24"/>
          <w:color w:val="000000"/>
          <w:lang w:val="ru-RU"/>
        </w:rPr>
      </w:pPr>
      <w:r>
        <w:rPr>
          <w:lang w:val="ru-RU"/>
        </w:rPr>
        <w:t>обоснование необходимости внесения изменений</w:t>
      </w:r>
      <w:r>
        <w:rPr/>
        <w:t> </w:t>
      </w:r>
      <w:r>
        <w:rPr>
          <w:lang w:val="ru-RU"/>
        </w:rPr>
        <w:t>с обоснованием причины возникновения такого изменения;</w:t>
      </w:r>
      <w:r/>
    </w:p>
    <w:p>
      <w:pPr>
        <w:pStyle w:val="Style12"/>
        <w:numPr>
          <w:ilvl w:val="0"/>
          <w:numId w:val="25"/>
        </w:numPr>
        <w:jc w:val="both"/>
        <w:rPr>
          <w:sz w:val="24"/>
          <w:sz w:val="24"/>
          <w:szCs w:val="24"/>
          <w:color w:val="000000"/>
          <w:lang w:val="ru-RU"/>
        </w:rPr>
      </w:pPr>
      <w:r>
        <w:rPr>
          <w:lang w:val="ru-RU"/>
        </w:rPr>
        <w:t>данные, подтверждающие неэффективность и (или) невозможность применения действующих положений единой учетной политики, ухудшающих качество и (или) препятствующих осуществлению централизуемых полномочий;</w:t>
      </w:r>
      <w:r/>
    </w:p>
    <w:p>
      <w:pPr>
        <w:pStyle w:val="Style12"/>
        <w:jc w:val="both"/>
      </w:pPr>
      <w:r>
        <w:rPr>
          <w:lang w:val="ru-RU"/>
        </w:rPr>
        <w:t>Централизованная бухгалтерия в течение 30 рабочих дней от даты поступления предложений</w:t>
      </w:r>
      <w:r>
        <w:rPr/>
        <w:t> </w:t>
      </w:r>
      <w:r>
        <w:rPr>
          <w:lang w:val="ru-RU"/>
        </w:rPr>
        <w:t>принимает решение о внесении соответствующего изменения в единую учетную политику</w:t>
      </w:r>
      <w:r>
        <w:rPr/>
        <w:t> </w:t>
      </w:r>
      <w:r>
        <w:rPr>
          <w:lang w:val="ru-RU"/>
        </w:rPr>
        <w:t>либо подготавливает мотивированное заключение о нецелесообразности представленных предложений по изменению</w:t>
      </w:r>
      <w:r>
        <w:rPr/>
        <w:t> </w:t>
      </w:r>
      <w:r>
        <w:rPr>
          <w:lang w:val="ru-RU"/>
        </w:rPr>
        <w:t>ввиду их несоответствия принципам концептуальных основ бухгалтерского учета,</w:t>
      </w:r>
      <w:r>
        <w:rPr/>
        <w:t> </w:t>
      </w:r>
      <w:r>
        <w:rPr>
          <w:lang w:val="ru-RU"/>
        </w:rPr>
        <w:t xml:space="preserve"> утвержденных</w:t>
      </w:r>
      <w:r>
        <w:rPr/>
        <w:t> </w:t>
      </w:r>
      <w:r>
        <w:rPr>
          <w:lang w:val="ru-RU"/>
        </w:rPr>
        <w:t>СГС «Концептуальные основы бухучета и отчетности», в части отсутствия прогностической ценности для финансовой оценки будущих периодов, либо подтверждающей ценности для подтверждения или корректировки ранее сделанных выводов, либо ввиду превышения затрат на представление информации в бухгалтерской (финансовой) отчетности над ее полезностью и преимуществами от ее использования. Централизованная бухгалтерия в период рассмотрения предложений по внесению изменений в единую учетную политику может запросить дополнительную информацию</w:t>
      </w:r>
      <w:r>
        <w:rPr/>
        <w:t> </w:t>
      </w:r>
      <w:r>
        <w:rPr>
          <w:lang w:val="ru-RU"/>
        </w:rPr>
        <w:t>у инициатора изменений.</w:t>
      </w:r>
      <w:r/>
    </w:p>
    <w:p>
      <w:pPr>
        <w:pStyle w:val="Style12"/>
        <w:jc w:val="both"/>
      </w:pPr>
      <w:r>
        <w:rPr>
          <w:lang w:val="ru-RU"/>
        </w:rPr>
        <w:t>Для определения даты начала применения вносимых изменений</w:t>
      </w:r>
      <w:r>
        <w:rPr/>
        <w:t> </w:t>
      </w:r>
      <w:r>
        <w:rPr>
          <w:lang w:val="ru-RU"/>
        </w:rPr>
        <w:t>централизованная бухгалтерия дает заключение относительно состава показателей бухгалтерской (финансовой) отчетности соответствующего отчетного периода, на который окажут влияние вносимые изменения.</w:t>
      </w:r>
      <w:r/>
    </w:p>
    <w:p>
      <w:pPr>
        <w:pStyle w:val="Style12"/>
        <w:spacing w:before="0" w:after="140"/>
        <w:jc w:val="both"/>
      </w:pPr>
      <w:r>
        <w:rPr>
          <w:lang w:val="ru-RU"/>
        </w:rPr>
        <w:t xml:space="preserve"> </w:t>
      </w:r>
      <w:r>
        <w:rPr>
          <w:lang w:val="ru-RU"/>
        </w:rPr>
        <w:t>Главный бухгалтер МКУЦБ О                                                                      О.В.Кузнецова</w:t>
      </w:r>
      <w:r/>
    </w:p>
    <w:sectPr>
      <w:type w:val="nextPage"/>
      <w:pgSz w:w="11906" w:h="16838"/>
      <w:pgMar w:left="1020" w:right="716" w:header="0" w:top="1440" w:footer="0" w:bottom="1440" w:gutter="0"/>
      <w:pgNumType w:fmt="decimal"/>
      <w:formProt w:val="false"/>
      <w:textDirection w:val="lrTb"/>
      <w:docGrid w:type="default" w:linePitch="24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Cambria">
    <w:charset w:val="cc"/>
    <w:family w:val="roman"/>
    <w:pitch w:val="variable"/>
  </w:font>
  <w:font w:name="Liberation Sans">
    <w:altName w:val="Arial"/>
    <w:charset w:val="cc"/>
    <w:family w:val="swiss"/>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5">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7">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9">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1">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5">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7">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9">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1">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5">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bering>
</file>

<file path=word/settings.xml><?xml version="1.0" encoding="utf-8"?>
<w:settings xmlns:w="http://schemas.openxmlformats.org/wordprocessingml/2006/main">
  <w:zoom w:percent="100"/>
  <w:defaultTabStop w:val="720"/>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szCs w:val="22"/>
        <w:lang w:val="ru-RU" w:eastAsia="ru-RU" w:bidi="ar-SA"/>
      </w:rPr>
    </w:rPrDefault>
    <w:pPrDefault>
      <w:pPr/>
    </w:pPrDefault>
  </w:docDefaults>
  <w:latentStyles w:count="267" w:defQFormat="0" w:defUnhideWhenUsed="1" w:defSemiHidden="1" w:defUIPriority="99" w:defLockedState="0">
    <w:lsdException w:qFormat="1" w:semiHidden="0" w:unhideWhenUsed="0" w:uiPriority="0" w:locked="1" w:name="Normal"/>
    <w:lsdException w:qFormat="1" w:semiHidden="0" w:unhideWhenUsed="0" w:uiPriority="0" w:locked="1" w:name="heading 1"/>
    <w:lsdException w:qFormat="1" w:semiHidden="0" w:unhideWhenUsed="0" w:uiPriority="0" w:locked="1" w:name="heading 2"/>
    <w:lsdException w:qFormat="1" w:semiHidden="0" w:unhideWhenUsed="0" w:uiPriority="0" w:locked="1" w:name="heading 3"/>
    <w:lsdException w:qFormat="1" w:uiPriority="0" w:locked="1" w:name="heading 4"/>
    <w:lsdException w:qFormat="1" w:uiPriority="0" w:locked="1" w:name="heading 5"/>
    <w:lsdException w:qFormat="1" w:uiPriority="0" w:locked="1" w:name="heading 6"/>
    <w:lsdException w:qFormat="1" w:uiPriority="0" w:locked="1" w:name="heading 7"/>
    <w:lsdException w:qFormat="1" w:uiPriority="0" w:locked="1" w:name="heading 8"/>
    <w:lsdException w:qFormat="1" w:uiPriority="0" w:locked="1" w:name="heading 9"/>
    <w:lsdException w:semiHidden="0" w:unhideWhenUsed="0" w:uiPriority="0" w:locked="1" w:name="toc 1"/>
    <w:lsdException w:semiHidden="0" w:unhideWhenUsed="0" w:uiPriority="0" w:locked="1" w:name="toc 2"/>
    <w:lsdException w:semiHidden="0" w:unhideWhenUsed="0" w:uiPriority="0" w:locked="1" w:name="toc 3"/>
    <w:lsdException w:semiHidden="0" w:unhideWhenUsed="0" w:uiPriority="0" w:locked="1" w:name="toc 4"/>
    <w:lsdException w:semiHidden="0" w:unhideWhenUsed="0" w:uiPriority="0" w:locked="1" w:name="toc 5"/>
    <w:lsdException w:semiHidden="0" w:unhideWhenUsed="0" w:uiPriority="0" w:locked="1" w:name="toc 6"/>
    <w:lsdException w:semiHidden="0" w:unhideWhenUsed="0" w:uiPriority="0" w:locked="1" w:name="toc 7"/>
    <w:lsdException w:semiHidden="0" w:unhideWhenUsed="0" w:uiPriority="0" w:locked="1" w:name="toc 8"/>
    <w:lsdException w:semiHidden="0" w:unhideWhenUsed="0" w:uiPriority="0" w:locked="1" w:name="toc 9"/>
    <w:lsdException w:qFormat="1" w:uiPriority="0" w:locked="1" w:name="caption"/>
    <w:lsdException w:qFormat="1" w:semiHidden="0" w:unhideWhenUsed="0" w:uiPriority="0" w:locked="1" w:name="Title"/>
    <w:lsdException w:semiHidden="0" w:unhideWhenUsed="0" w:uiPriority="0" w:locked="1" w:name="Default Paragraph Font"/>
    <w:lsdException w:qFormat="1" w:semiHidden="0" w:unhideWhenUsed="0" w:uiPriority="0" w:locked="1" w:name="Subtitle"/>
    <w:lsdException w:qFormat="1" w:semiHidden="0" w:unhideWhenUsed="0" w:uiPriority="0" w:locked="1" w:name="Strong"/>
    <w:lsdException w:qFormat="1" w:semiHidden="0" w:unhideWhenUsed="0" w:uiPriority="0" w:locked="1" w:name="Emphasis"/>
    <w:lsdException w:semiHidden="0" w:unhideWhenUsed="0" w:uiPriority="0" w:locked="1" w:name="Table Grid"/>
    <w:lsdException w:unhideWhenUsed="0" w:name="Placeholder Text"/>
    <w:lsdException w:qFormat="1" w:semiHidden="0" w:unhideWhenUsed="0" w:uiPriority="1" w:name="No Spacing"/>
    <w:lsdException w:semiHidden="0" w:unhideWhenUsed="0" w:uiPriority="60" w:name="Light Shading"/>
    <w:lsdException w:semiHidden="0" w:unhideWhenUsed="0" w:uiPriority="61" w:name="Light List"/>
    <w:lsdException w:semiHidden="0" w:unhideWhenUsed="0" w:uiPriority="62" w:name="Light Grid"/>
    <w:lsdException w:semiHidden="0" w:unhideWhenUsed="0" w:uiPriority="63" w:name="Medium Shading 1"/>
    <w:lsdException w:semiHidden="0" w:unhideWhenUsed="0" w:uiPriority="64" w:name="Medium Shading 2"/>
    <w:lsdException w:semiHidden="0" w:unhideWhenUsed="0" w:uiPriority="65" w:name="Medium List 1"/>
    <w:lsdException w:semiHidden="0" w:unhideWhenUsed="0" w:uiPriority="66" w:name="Medium List 2"/>
    <w:lsdException w:semiHidden="0" w:unhideWhenUsed="0" w:uiPriority="67" w:name="Medium Grid 1"/>
    <w:lsdException w:semiHidden="0" w:unhideWhenUsed="0" w:uiPriority="68" w:name="Medium Grid 2"/>
    <w:lsdException w:semiHidden="0" w:unhideWhenUsed="0" w:uiPriority="69" w:name="Medium Grid 3"/>
    <w:lsdException w:semiHidden="0" w:unhideWhenUsed="0" w:uiPriority="70" w:name="Dark List"/>
    <w:lsdException w:semiHidden="0" w:unhideWhenUsed="0" w:uiPriority="71" w:name="Colorful Shading"/>
    <w:lsdException w:semiHidden="0" w:unhideWhenUsed="0" w:uiPriority="72" w:name="Colorful List"/>
    <w:lsdException w:semiHidden="0" w:unhideWhenUsed="0" w:uiPriority="73" w:name="Colorful Grid"/>
    <w:lsdException w:semiHidden="0" w:unhideWhenUsed="0" w:uiPriority="60" w:name="Light Shading Accent 1"/>
    <w:lsdException w:semiHidden="0" w:unhideWhenUsed="0" w:uiPriority="61" w:name="Light List Accent 1"/>
    <w:lsdException w:semiHidden="0" w:unhideWhenUsed="0" w:uiPriority="62" w:name="Light Grid Accent 1"/>
    <w:lsdException w:semiHidden="0" w:unhideWhenUsed="0" w:uiPriority="63" w:name="Medium Shading 1 Accent 1"/>
    <w:lsdException w:semiHidden="0" w:unhideWhenUsed="0" w:uiPriority="64" w:name="Medium Shading 2 Accent 1"/>
    <w:lsdException w:semiHidden="0" w:unhideWhenUsed="0" w:uiPriority="65" w:name="Medium List 1 Accent 1"/>
    <w:lsdException w:unhideWhenUsed="0" w:name="Revision"/>
    <w:lsdException w:qFormat="1" w:semiHidden="0" w:unhideWhenUsed="0" w:uiPriority="34" w:name="List Paragraph"/>
    <w:lsdException w:qFormat="1" w:semiHidden="0" w:unhideWhenUsed="0" w:uiPriority="29" w:name="Quote"/>
    <w:lsdException w:qFormat="1" w:semiHidden="0" w:unhideWhenUsed="0" w:uiPriority="30" w:name="Intense Quote"/>
    <w:lsdException w:semiHidden="0" w:unhideWhenUsed="0" w:uiPriority="66" w:name="Medium List 2 Accent 1"/>
    <w:lsdException w:semiHidden="0" w:unhideWhenUsed="0" w:uiPriority="67" w:name="Medium Grid 1 Accent 1"/>
    <w:lsdException w:semiHidden="0" w:unhideWhenUsed="0" w:uiPriority="68" w:name="Medium Grid 2 Accent 1"/>
    <w:lsdException w:semiHidden="0" w:unhideWhenUsed="0" w:uiPriority="69" w:name="Medium Grid 3 Accent 1"/>
    <w:lsdException w:semiHidden="0" w:unhideWhenUsed="0" w:uiPriority="70" w:name="Dark List Accent 1"/>
    <w:lsdException w:semiHidden="0" w:unhideWhenUsed="0" w:uiPriority="71" w:name="Colorful Shading Accent 1"/>
    <w:lsdException w:semiHidden="0" w:unhideWhenUsed="0" w:uiPriority="72" w:name="Colorful List Accent 1"/>
    <w:lsdException w:semiHidden="0" w:unhideWhenUsed="0" w:uiPriority="73" w:name="Colorful Grid Accent 1"/>
    <w:lsdException w:semiHidden="0" w:unhideWhenUsed="0" w:uiPriority="60" w:name="Light Shading Accent 2"/>
    <w:lsdException w:semiHidden="0" w:unhideWhenUsed="0" w:uiPriority="61" w:name="Light List Accent 2"/>
    <w:lsdException w:semiHidden="0" w:unhideWhenUsed="0" w:uiPriority="62" w:name="Light Grid Accent 2"/>
    <w:lsdException w:semiHidden="0" w:unhideWhenUsed="0" w:uiPriority="63" w:name="Medium Shading 1 Accent 2"/>
    <w:lsdException w:semiHidden="0" w:unhideWhenUsed="0" w:uiPriority="64" w:name="Medium Shading 2 Accent 2"/>
    <w:lsdException w:semiHidden="0" w:unhideWhenUsed="0" w:uiPriority="65" w:name="Medium List 1 Accent 2"/>
    <w:lsdException w:semiHidden="0" w:unhideWhenUsed="0" w:uiPriority="66" w:name="Medium List 2 Accent 2"/>
    <w:lsdException w:semiHidden="0" w:unhideWhenUsed="0" w:uiPriority="67" w:name="Medium Grid 1 Accent 2"/>
    <w:lsdException w:semiHidden="0" w:unhideWhenUsed="0" w:uiPriority="68" w:name="Medium Grid 2 Accent 2"/>
    <w:lsdException w:semiHidden="0" w:unhideWhenUsed="0" w:uiPriority="69" w:name="Medium Grid 3 Accent 2"/>
    <w:lsdException w:semiHidden="0" w:unhideWhenUsed="0" w:uiPriority="70" w:name="Dark List Accent 2"/>
    <w:lsdException w:semiHidden="0" w:unhideWhenUsed="0" w:uiPriority="71" w:name="Colorful Shading Accent 2"/>
    <w:lsdException w:semiHidden="0" w:unhideWhenUsed="0" w:uiPriority="72" w:name="Colorful List Accent 2"/>
    <w:lsdException w:semiHidden="0" w:unhideWhenUsed="0" w:uiPriority="73" w:name="Colorful Grid Accent 2"/>
    <w:lsdException w:semiHidden="0" w:unhideWhenUsed="0" w:uiPriority="60" w:name="Light Shading Accent 3"/>
    <w:lsdException w:semiHidden="0" w:unhideWhenUsed="0" w:uiPriority="61" w:name="Light List Accent 3"/>
    <w:lsdException w:semiHidden="0" w:unhideWhenUsed="0" w:uiPriority="62" w:name="Light Grid Accent 3"/>
    <w:lsdException w:semiHidden="0" w:unhideWhenUsed="0" w:uiPriority="63" w:name="Medium Shading 1 Accent 3"/>
    <w:lsdException w:semiHidden="0" w:unhideWhenUsed="0" w:uiPriority="64" w:name="Medium Shading 2 Accent 3"/>
    <w:lsdException w:semiHidden="0" w:unhideWhenUsed="0" w:uiPriority="65" w:name="Medium List 1 Accent 3"/>
    <w:lsdException w:semiHidden="0" w:unhideWhenUsed="0" w:uiPriority="66" w:name="Medium List 2 Accent 3"/>
    <w:lsdException w:semiHidden="0" w:unhideWhenUsed="0" w:uiPriority="67" w:name="Medium Grid 1 Accent 3"/>
    <w:lsdException w:semiHidden="0" w:unhideWhenUsed="0" w:uiPriority="68" w:name="Medium Grid 2 Accent 3"/>
    <w:lsdException w:semiHidden="0" w:unhideWhenUsed="0" w:uiPriority="69" w:name="Medium Grid 3 Accent 3"/>
    <w:lsdException w:semiHidden="0" w:unhideWhenUsed="0" w:uiPriority="70" w:name="Dark List Accent 3"/>
    <w:lsdException w:semiHidden="0" w:unhideWhenUsed="0" w:uiPriority="71" w:name="Colorful Shading Accent 3"/>
    <w:lsdException w:semiHidden="0" w:unhideWhenUsed="0" w:uiPriority="72" w:name="Colorful List Accent 3"/>
    <w:lsdException w:semiHidden="0" w:unhideWhenUsed="0" w:uiPriority="73" w:name="Colorful Grid Accent 3"/>
    <w:lsdException w:semiHidden="0" w:unhideWhenUsed="0" w:uiPriority="60" w:name="Light Shading Accent 4"/>
    <w:lsdException w:semiHidden="0" w:unhideWhenUsed="0" w:uiPriority="61" w:name="Light List Accent 4"/>
    <w:lsdException w:semiHidden="0" w:unhideWhenUsed="0" w:uiPriority="62" w:name="Light Grid Accent 4"/>
    <w:lsdException w:semiHidden="0" w:unhideWhenUsed="0" w:uiPriority="63" w:name="Medium Shading 1 Accent 4"/>
    <w:lsdException w:semiHidden="0" w:unhideWhenUsed="0" w:uiPriority="64" w:name="Medium Shading 2 Accent 4"/>
    <w:lsdException w:semiHidden="0" w:unhideWhenUsed="0" w:uiPriority="65" w:name="Medium List 1 Accent 4"/>
    <w:lsdException w:semiHidden="0" w:unhideWhenUsed="0" w:uiPriority="66" w:name="Medium List 2 Accent 4"/>
    <w:lsdException w:semiHidden="0" w:unhideWhenUsed="0" w:uiPriority="67" w:name="Medium Grid 1 Accent 4"/>
    <w:lsdException w:semiHidden="0" w:unhideWhenUsed="0" w:uiPriority="68" w:name="Medium Grid 2 Accent 4"/>
    <w:lsdException w:semiHidden="0" w:unhideWhenUsed="0" w:uiPriority="69" w:name="Medium Grid 3 Accent 4"/>
    <w:lsdException w:semiHidden="0" w:unhideWhenUsed="0" w:uiPriority="70" w:name="Dark List Accent 4"/>
    <w:lsdException w:semiHidden="0" w:unhideWhenUsed="0" w:uiPriority="71" w:name="Colorful Shading Accent 4"/>
    <w:lsdException w:semiHidden="0" w:unhideWhenUsed="0" w:uiPriority="72" w:name="Colorful List Accent 4"/>
    <w:lsdException w:semiHidden="0" w:unhideWhenUsed="0" w:uiPriority="73" w:name="Colorful Grid Accent 4"/>
    <w:lsdException w:semiHidden="0" w:unhideWhenUsed="0" w:uiPriority="60" w:name="Light Shading Accent 5"/>
    <w:lsdException w:semiHidden="0" w:unhideWhenUsed="0" w:uiPriority="61" w:name="Light List Accent 5"/>
    <w:lsdException w:semiHidden="0" w:unhideWhenUsed="0" w:uiPriority="62" w:name="Light Grid Accent 5"/>
    <w:lsdException w:semiHidden="0" w:unhideWhenUsed="0" w:uiPriority="63" w:name="Medium Shading 1 Accent 5"/>
    <w:lsdException w:semiHidden="0" w:unhideWhenUsed="0" w:uiPriority="64" w:name="Medium Shading 2 Accent 5"/>
    <w:lsdException w:semiHidden="0" w:unhideWhenUsed="0" w:uiPriority="65" w:name="Medium List 1 Accent 5"/>
    <w:lsdException w:semiHidden="0" w:unhideWhenUsed="0" w:uiPriority="66" w:name="Medium List 2 Accent 5"/>
    <w:lsdException w:semiHidden="0" w:unhideWhenUsed="0" w:uiPriority="67" w:name="Medium Grid 1 Accent 5"/>
    <w:lsdException w:semiHidden="0" w:unhideWhenUsed="0" w:uiPriority="68" w:name="Medium Grid 2 Accent 5"/>
    <w:lsdException w:semiHidden="0" w:unhideWhenUsed="0" w:uiPriority="69" w:name="Medium Grid 3 Accent 5"/>
    <w:lsdException w:semiHidden="0" w:unhideWhenUsed="0" w:uiPriority="70" w:name="Dark List Accent 5"/>
    <w:lsdException w:semiHidden="0" w:unhideWhenUsed="0" w:uiPriority="71" w:name="Colorful Shading Accent 5"/>
    <w:lsdException w:semiHidden="0" w:unhideWhenUsed="0" w:uiPriority="72" w:name="Colorful List Accent 5"/>
    <w:lsdException w:semiHidden="0" w:unhideWhenUsed="0" w:uiPriority="73" w:name="Colorful Grid Accent 5"/>
    <w:lsdException w:semiHidden="0" w:unhideWhenUsed="0" w:uiPriority="60" w:name="Light Shading Accent 6"/>
    <w:lsdException w:semiHidden="0" w:unhideWhenUsed="0" w:uiPriority="61" w:name="Light List Accent 6"/>
    <w:lsdException w:semiHidden="0" w:unhideWhenUsed="0" w:uiPriority="62" w:name="Light Grid Accent 6"/>
    <w:lsdException w:semiHidden="0" w:unhideWhenUsed="0" w:uiPriority="63" w:name="Medium Shading 1 Accent 6"/>
    <w:lsdException w:semiHidden="0" w:unhideWhenUsed="0" w:uiPriority="64" w:name="Medium Shading 2 Accent 6"/>
    <w:lsdException w:semiHidden="0" w:unhideWhenUsed="0" w:uiPriority="65" w:name="Medium List 1 Accent 6"/>
    <w:lsdException w:semiHidden="0" w:unhideWhenUsed="0" w:uiPriority="66" w:name="Medium List 2 Accent 6"/>
    <w:lsdException w:semiHidden="0" w:unhideWhenUsed="0" w:uiPriority="67" w:name="Medium Grid 1 Accent 6"/>
    <w:lsdException w:semiHidden="0" w:unhideWhenUsed="0" w:uiPriority="68" w:name="Medium Grid 2 Accent 6"/>
    <w:lsdException w:semiHidden="0" w:unhideWhenUsed="0" w:uiPriority="69" w:name="Medium Grid 3 Accent 6"/>
    <w:lsdException w:semiHidden="0" w:unhideWhenUsed="0" w:uiPriority="70" w:name="Dark List Accent 6"/>
    <w:lsdException w:semiHidden="0" w:unhideWhenUsed="0" w:uiPriority="71" w:name="Colorful Shading Accent 6"/>
    <w:lsdException w:semiHidden="0" w:unhideWhenUsed="0" w:uiPriority="72" w:name="Colorful List Accent 6"/>
    <w:lsdException w:semiHidden="0" w:unhideWhenUsed="0" w:uiPriority="73" w:name="Colorful Grid Accent 6"/>
    <w:lsdException w:qFormat="1" w:semiHidden="0" w:unhideWhenUsed="0" w:uiPriority="19" w:name="Subtle Emphasis"/>
    <w:lsdException w:qFormat="1" w:semiHidden="0" w:unhideWhenUsed="0" w:uiPriority="21" w:name="Intense Emphasis"/>
    <w:lsdException w:qFormat="1" w:semiHidden="0" w:unhideWhenUsed="0" w:uiPriority="31" w:name="Subtle Reference"/>
    <w:lsdException w:qFormat="1" w:semiHidden="0" w:unhideWhenUsed="0" w:uiPriority="32" w:name="Intense Reference"/>
    <w:lsdException w:qFormat="1" w:semiHidden="0" w:unhideWhenUsed="0" w:uiPriority="33" w:name="Book Title"/>
    <w:lsdException w:uiPriority="37" w:name="Bibliography"/>
    <w:lsdException w:qFormat="1" w:uiPriority="39" w:name="TOC Heading"/>
  </w:latentStyles>
  <w:style w:type="paragraph" w:styleId="Normal" w:default="1">
    <w:name w:val="Normal"/>
    <w:qFormat/>
    <w:rsid w:val="00074144"/>
    <w:pPr>
      <w:widowControl/>
      <w:suppressAutoHyphens w:val="true"/>
      <w:bidi w:val="0"/>
      <w:spacing w:before="280" w:after="280"/>
      <w:jc w:val="left"/>
    </w:pPr>
    <w:rPr>
      <w:rFonts w:ascii="Times New Roman" w:hAnsi="Times New Roman" w:eastAsia="Times New Roman" w:cs="Times New Roman"/>
      <w:color w:val="00000A"/>
      <w:sz w:val="22"/>
      <w:szCs w:val="22"/>
      <w:lang w:val="en-US" w:eastAsia="en-US" w:bidi="ar-SA"/>
    </w:rPr>
  </w:style>
  <w:style w:type="paragraph" w:styleId="1">
    <w:name w:val="Заголовок 1"/>
    <w:basedOn w:val="Normal"/>
    <w:next w:val="Normal"/>
    <w:link w:val="Heading1Char"/>
    <w:uiPriority w:val="99"/>
    <w:qFormat/>
    <w:rsid w:val="00074144"/>
    <w:pPr>
      <w:keepNext/>
      <w:keepLines/>
      <w:outlineLvl w:val="0"/>
    </w:pPr>
    <w:rPr>
      <w:rFonts w:ascii="Cambria" w:hAnsi="Cambria" w:cs="Cambria"/>
      <w:b/>
      <w:bCs/>
      <w:color w:val="365F91"/>
      <w:sz w:val="28"/>
      <w:szCs w:val="28"/>
    </w:rPr>
  </w:style>
  <w:style w:type="paragraph" w:styleId="2">
    <w:name w:val="Заголовок 2"/>
    <w:basedOn w:val="Style11"/>
    <w:link w:val="Heading2Char"/>
    <w:uiPriority w:val="99"/>
    <w:qFormat/>
    <w:rsid w:val="00770971"/>
    <w:pPr>
      <w:outlineLvl w:val="1"/>
    </w:pPr>
    <w:rPr/>
  </w:style>
  <w:style w:type="paragraph" w:styleId="3">
    <w:name w:val="Заголовок 3"/>
    <w:basedOn w:val="Style11"/>
    <w:link w:val="Heading3Char"/>
    <w:uiPriority w:val="99"/>
    <w:qFormat/>
    <w:rsid w:val="00770971"/>
    <w:pPr>
      <w:outlineLvl w:val="2"/>
    </w:pPr>
    <w:rPr/>
  </w:style>
  <w:style w:type="character" w:styleId="DefaultParagraphFont" w:default="1">
    <w:name w:val="Default Paragraph Font"/>
    <w:uiPriority w:val="99"/>
    <w:semiHidden/>
    <w:rPr/>
  </w:style>
  <w:style w:type="character" w:styleId="Heading1Char" w:customStyle="1">
    <w:name w:val="Heading 1 Char"/>
    <w:basedOn w:val="DefaultParagraphFont"/>
    <w:link w:val="Heading1"/>
    <w:uiPriority w:val="99"/>
    <w:locked/>
    <w:rsid w:val="00074144"/>
    <w:rPr>
      <w:rFonts w:ascii="Cambria" w:hAnsi="Cambria" w:cs="Cambria"/>
      <w:b/>
      <w:bCs/>
      <w:color w:val="365F91"/>
      <w:sz w:val="28"/>
      <w:szCs w:val="28"/>
    </w:rPr>
  </w:style>
  <w:style w:type="character" w:styleId="Heading2Char" w:customStyle="1">
    <w:name w:val="Heading 2 Char"/>
    <w:basedOn w:val="DefaultParagraphFont"/>
    <w:link w:val="Heading2"/>
    <w:uiPriority w:val="99"/>
    <w:semiHidden/>
    <w:locked/>
    <w:rPr>
      <w:rFonts w:ascii="Cambria" w:hAnsi="Cambria" w:cs="Times New Roman"/>
      <w:b/>
      <w:bCs/>
      <w:i/>
      <w:iCs/>
      <w:color w:val="00000A"/>
      <w:sz w:val="28"/>
      <w:szCs w:val="28"/>
      <w:lang w:val="en-US" w:eastAsia="en-US"/>
    </w:rPr>
  </w:style>
  <w:style w:type="character" w:styleId="Heading3Char" w:customStyle="1">
    <w:name w:val="Heading 3 Char"/>
    <w:basedOn w:val="DefaultParagraphFont"/>
    <w:link w:val="Heading3"/>
    <w:uiPriority w:val="99"/>
    <w:semiHidden/>
    <w:locked/>
    <w:rPr>
      <w:rFonts w:ascii="Cambria" w:hAnsi="Cambria" w:cs="Times New Roman"/>
      <w:b/>
      <w:bCs/>
      <w:color w:val="00000A"/>
      <w:sz w:val="26"/>
      <w:szCs w:val="26"/>
      <w:lang w:val="en-US" w:eastAsia="en-US"/>
    </w:rPr>
  </w:style>
  <w:style w:type="character" w:styleId="ListLabel1" w:customStyle="1">
    <w:name w:val="ListLabel 1"/>
    <w:uiPriority w:val="99"/>
    <w:rsid w:val="00770971"/>
    <w:rPr>
      <w:sz w:val="20"/>
    </w:rPr>
  </w:style>
  <w:style w:type="character" w:styleId="ListLabel2" w:customStyle="1">
    <w:name w:val="ListLabel 2"/>
    <w:uiPriority w:val="99"/>
    <w:rsid w:val="00770971"/>
    <w:rPr>
      <w:sz w:val="20"/>
    </w:rPr>
  </w:style>
  <w:style w:type="character" w:styleId="ListLabel3" w:customStyle="1">
    <w:name w:val="ListLabel 3"/>
    <w:uiPriority w:val="99"/>
    <w:rsid w:val="00770971"/>
    <w:rPr>
      <w:sz w:val="20"/>
    </w:rPr>
  </w:style>
  <w:style w:type="character" w:styleId="ListLabel4" w:customStyle="1">
    <w:name w:val="ListLabel 4"/>
    <w:uiPriority w:val="99"/>
    <w:rsid w:val="00770971"/>
    <w:rPr>
      <w:sz w:val="20"/>
    </w:rPr>
  </w:style>
  <w:style w:type="character" w:styleId="ListLabel5" w:customStyle="1">
    <w:name w:val="ListLabel 5"/>
    <w:uiPriority w:val="99"/>
    <w:rsid w:val="00770971"/>
    <w:rPr>
      <w:sz w:val="20"/>
    </w:rPr>
  </w:style>
  <w:style w:type="character" w:styleId="ListLabel6" w:customStyle="1">
    <w:name w:val="ListLabel 6"/>
    <w:uiPriority w:val="99"/>
    <w:rsid w:val="00770971"/>
    <w:rPr>
      <w:sz w:val="20"/>
    </w:rPr>
  </w:style>
  <w:style w:type="character" w:styleId="ListLabel7" w:customStyle="1">
    <w:name w:val="ListLabel 7"/>
    <w:uiPriority w:val="99"/>
    <w:rsid w:val="00770971"/>
    <w:rPr>
      <w:sz w:val="20"/>
    </w:rPr>
  </w:style>
  <w:style w:type="character" w:styleId="ListLabel8" w:customStyle="1">
    <w:name w:val="ListLabel 8"/>
    <w:uiPriority w:val="99"/>
    <w:rsid w:val="00770971"/>
    <w:rPr>
      <w:sz w:val="20"/>
    </w:rPr>
  </w:style>
  <w:style w:type="character" w:styleId="ListLabel9" w:customStyle="1">
    <w:name w:val="ListLabel 9"/>
    <w:uiPriority w:val="99"/>
    <w:rsid w:val="00770971"/>
    <w:rPr>
      <w:sz w:val="20"/>
    </w:rPr>
  </w:style>
  <w:style w:type="character" w:styleId="ListLabel10" w:customStyle="1">
    <w:name w:val="ListLabel 10"/>
    <w:uiPriority w:val="99"/>
    <w:rsid w:val="00770971"/>
    <w:rPr>
      <w:sz w:val="20"/>
    </w:rPr>
  </w:style>
  <w:style w:type="character" w:styleId="BodyTextChar" w:customStyle="1">
    <w:name w:val="Body Text Char"/>
    <w:basedOn w:val="DefaultParagraphFont"/>
    <w:link w:val="BodyText"/>
    <w:uiPriority w:val="99"/>
    <w:semiHidden/>
    <w:locked/>
    <w:rPr>
      <w:rFonts w:cs="Times New Roman"/>
      <w:color w:val="00000A"/>
      <w:lang w:val="en-US" w:eastAsia="en-US"/>
    </w:rPr>
  </w:style>
  <w:style w:type="character" w:styleId="TitleChar" w:customStyle="1">
    <w:name w:val="Title Char"/>
    <w:basedOn w:val="DefaultParagraphFont"/>
    <w:link w:val="Title"/>
    <w:uiPriority w:val="99"/>
    <w:locked/>
    <w:rPr>
      <w:rFonts w:ascii="Cambria" w:hAnsi="Cambria" w:cs="Times New Roman"/>
      <w:b/>
      <w:bCs/>
      <w:color w:val="00000A"/>
      <w:sz w:val="32"/>
      <w:szCs w:val="32"/>
      <w:lang w:val="en-US" w:eastAsia="en-US"/>
    </w:rPr>
  </w:style>
  <w:style w:type="character" w:styleId="SubtitleChar" w:customStyle="1">
    <w:name w:val="Subtitle Char"/>
    <w:basedOn w:val="DefaultParagraphFont"/>
    <w:link w:val="Subtitle"/>
    <w:uiPriority w:val="99"/>
    <w:locked/>
    <w:rPr>
      <w:rFonts w:ascii="Cambria" w:hAnsi="Cambria" w:cs="Times New Roman"/>
      <w:color w:val="00000A"/>
      <w:sz w:val="24"/>
      <w:szCs w:val="24"/>
      <w:lang w:val="en-US" w:eastAsia="en-US"/>
    </w:rPr>
  </w:style>
  <w:style w:type="character" w:styleId="ListLabel11">
    <w:name w:val="ListLabel 11"/>
    <w:rPr>
      <w:sz w:val="20"/>
    </w:rPr>
  </w:style>
  <w:style w:type="character" w:styleId="ListLabel12">
    <w:name w:val="ListLabel 12"/>
    <w:rPr>
      <w:rFonts w:cs="Times New Roman"/>
    </w:rPr>
  </w:style>
  <w:style w:type="character" w:styleId="ListLabel13">
    <w:name w:val="ListLabel 13"/>
    <w:rPr>
      <w:rFonts w:cs="Symbol"/>
      <w:sz w:val="20"/>
    </w:rPr>
  </w:style>
  <w:style w:type="character" w:styleId="ListLabel14">
    <w:name w:val="ListLabel 14"/>
    <w:rPr>
      <w:rFonts w:cs="Courier New"/>
      <w:sz w:val="20"/>
    </w:rPr>
  </w:style>
  <w:style w:type="character" w:styleId="ListLabel15">
    <w:name w:val="ListLabel 15"/>
    <w:rPr>
      <w:rFonts w:cs="Wingdings"/>
      <w:sz w:val="20"/>
    </w:rPr>
  </w:style>
  <w:style w:type="character" w:styleId="ListLabel16">
    <w:name w:val="ListLabel 16"/>
    <w:rPr>
      <w:rFonts w:cs="Symbol"/>
      <w:sz w:val="20"/>
    </w:rPr>
  </w:style>
  <w:style w:type="character" w:styleId="ListLabel17">
    <w:name w:val="ListLabel 17"/>
    <w:rPr>
      <w:rFonts w:cs="Courier New"/>
      <w:sz w:val="20"/>
    </w:rPr>
  </w:style>
  <w:style w:type="character" w:styleId="ListLabel18">
    <w:name w:val="ListLabel 18"/>
    <w:rPr>
      <w:rFonts w:cs="Wingdings"/>
      <w:sz w:val="20"/>
    </w:rPr>
  </w:style>
  <w:style w:type="character" w:styleId="ListLabel19">
    <w:name w:val="ListLabel 19"/>
    <w:rPr>
      <w:rFonts w:cs="Symbol"/>
      <w:sz w:val="20"/>
    </w:rPr>
  </w:style>
  <w:style w:type="character" w:styleId="ListLabel20">
    <w:name w:val="ListLabel 20"/>
    <w:rPr>
      <w:rFonts w:cs="Courier New"/>
      <w:sz w:val="20"/>
    </w:rPr>
  </w:style>
  <w:style w:type="character" w:styleId="ListLabel21">
    <w:name w:val="ListLabel 21"/>
    <w:rPr>
      <w:rFonts w:cs="Wingdings"/>
      <w:sz w:val="20"/>
    </w:rPr>
  </w:style>
  <w:style w:type="character" w:styleId="ListLabel22">
    <w:name w:val="ListLabel 22"/>
    <w:rPr>
      <w:rFonts w:cs="Symbol"/>
      <w:sz w:val="20"/>
    </w:rPr>
  </w:style>
  <w:style w:type="character" w:styleId="ListLabel23">
    <w:name w:val="ListLabel 23"/>
    <w:rPr>
      <w:rFonts w:cs="Courier New"/>
      <w:sz w:val="20"/>
    </w:rPr>
  </w:style>
  <w:style w:type="character" w:styleId="ListLabel24">
    <w:name w:val="ListLabel 24"/>
    <w:rPr>
      <w:rFonts w:cs="Wingdings"/>
      <w:sz w:val="20"/>
    </w:rPr>
  </w:style>
  <w:style w:type="character" w:styleId="ListLabel25">
    <w:name w:val="ListLabel 25"/>
    <w:rPr>
      <w:rFonts w:cs="Symbol"/>
      <w:sz w:val="20"/>
    </w:rPr>
  </w:style>
  <w:style w:type="character" w:styleId="ListLabel26">
    <w:name w:val="ListLabel 26"/>
    <w:rPr>
      <w:rFonts w:cs="Courier New"/>
      <w:sz w:val="20"/>
    </w:rPr>
  </w:style>
  <w:style w:type="character" w:styleId="ListLabel27">
    <w:name w:val="ListLabel 27"/>
    <w:rPr>
      <w:rFonts w:cs="Wingdings"/>
      <w:sz w:val="20"/>
    </w:rPr>
  </w:style>
  <w:style w:type="paragraph" w:styleId="Style11" w:customStyle="1">
    <w:name w:val="Заголовок"/>
    <w:basedOn w:val="Normal"/>
    <w:next w:val="Style12"/>
    <w:uiPriority w:val="99"/>
    <w:rsid w:val="00770971"/>
    <w:pPr>
      <w:keepNext/>
      <w:spacing w:before="240" w:after="120"/>
    </w:pPr>
    <w:rPr>
      <w:rFonts w:ascii="Liberation Sans" w:hAnsi="Liberation Sans" w:eastAsia="Microsoft YaHei" w:cs="Mangal"/>
      <w:sz w:val="28"/>
      <w:szCs w:val="28"/>
    </w:rPr>
  </w:style>
  <w:style w:type="paragraph" w:styleId="Style12">
    <w:name w:val="Основной текст"/>
    <w:basedOn w:val="Normal"/>
    <w:link w:val="BodyTextChar"/>
    <w:uiPriority w:val="99"/>
    <w:rsid w:val="00770971"/>
    <w:pPr>
      <w:spacing w:lineRule="auto" w:line="288" w:before="0" w:after="140"/>
    </w:pPr>
    <w:rPr/>
  </w:style>
  <w:style w:type="paragraph" w:styleId="Style13">
    <w:name w:val="Список"/>
    <w:basedOn w:val="Style12"/>
    <w:uiPriority w:val="99"/>
    <w:rsid w:val="00770971"/>
    <w:pPr/>
    <w:rPr>
      <w:rFonts w:cs="Mangal"/>
    </w:rPr>
  </w:style>
  <w:style w:type="paragraph" w:styleId="Style14">
    <w:name w:val="Название"/>
    <w:basedOn w:val="Normal"/>
    <w:pPr>
      <w:suppressLineNumbers/>
      <w:spacing w:before="120" w:after="120"/>
    </w:pPr>
    <w:rPr>
      <w:rFonts w:cs="Mangal"/>
      <w:i/>
      <w:iCs/>
      <w:sz w:val="24"/>
      <w:szCs w:val="24"/>
    </w:rPr>
  </w:style>
  <w:style w:type="paragraph" w:styleId="Style15">
    <w:name w:val="Указатель"/>
    <w:basedOn w:val="Normal"/>
    <w:pPr>
      <w:suppressLineNumbers/>
    </w:pPr>
    <w:rPr>
      <w:rFonts w:cs="Mangal"/>
    </w:rPr>
  </w:style>
  <w:style w:type="paragraph" w:styleId="Style16" w:customStyle="1">
    <w:name w:val="Заглавие"/>
    <w:basedOn w:val="Style11"/>
    <w:uiPriority w:val="99"/>
    <w:rsid w:val="00770971"/>
    <w:pPr>
      <w:suppressLineNumbers/>
      <w:spacing w:before="120" w:after="120"/>
    </w:pPr>
    <w:rPr>
      <w:rFonts w:cs="Mangal"/>
      <w:i/>
      <w:iCs/>
      <w:sz w:val="24"/>
      <w:szCs w:val="24"/>
    </w:rPr>
  </w:style>
  <w:style w:type="paragraph" w:styleId="Index1">
    <w:name w:val="index 1"/>
    <w:basedOn w:val="Normal"/>
    <w:next w:val="Normal"/>
    <w:autoRedefine/>
    <w:uiPriority w:val="99"/>
    <w:semiHidden/>
    <w:rsid w:val="00074144"/>
    <w:pPr>
      <w:ind w:left="220" w:hanging="220"/>
    </w:pPr>
    <w:rPr/>
  </w:style>
  <w:style w:type="paragraph" w:styleId="Indexheading">
    <w:name w:val="index heading"/>
    <w:basedOn w:val="Normal"/>
    <w:uiPriority w:val="99"/>
    <w:rsid w:val="00770971"/>
    <w:pPr>
      <w:suppressLineNumbers/>
    </w:pPr>
    <w:rPr>
      <w:rFonts w:cs="Mangal"/>
    </w:rPr>
  </w:style>
  <w:style w:type="paragraph" w:styleId="Style17" w:customStyle="1">
    <w:name w:val="Блочная цитата"/>
    <w:basedOn w:val="Normal"/>
    <w:uiPriority w:val="99"/>
    <w:rsid w:val="00770971"/>
    <w:pPr/>
    <w:rPr/>
  </w:style>
  <w:style w:type="paragraph" w:styleId="Style18">
    <w:name w:val="Подзаголовок"/>
    <w:basedOn w:val="Style11"/>
    <w:link w:val="SubtitleChar"/>
    <w:uiPriority w:val="99"/>
    <w:qFormat/>
    <w:rsid w:val="00770971"/>
    <w:pPr/>
    <w:rPr/>
  </w:style>
  <w:style w:type="paragraph" w:styleId="Style19">
    <w:name w:val="Верхний колонтитул"/>
    <w:basedOn w:val="Normal"/>
    <w:pPr/>
    <w:rPr/>
  </w:style>
  <w:style w:type="numbering" w:styleId="NoList" w:default="1">
    <w:name w:val="No List"/>
    <w:uiPriority w:val="99"/>
    <w:semiHidden/>
    <w:unhideWhenUsed/>
  </w:style>
  <w:style w:type="table" w:default="1" w:styleId="TableNormal">
    <w:name w:val="Normal Table"/>
    <w:uiPriority w:val="99"/>
    <w:semiHidden/>
    <w:unhideWhenUsed/>
    <w:qFormat/>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8259</TotalTime>
  <Application>LibreOffice/4.3.5.2$Windows_x86 LibreOffice_project/3a87456aaa6a95c63eea1c1b3201acedf0751bd5</Application>
  <Paragraphs>310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2011-11-02T04:15:00Z</dcterms:created>
  <dc:description>Подготовлено экспертами Актион-МЦФЭР</dc:description>
  <dc:language>ru-RU</dc:language>
  <cp:lastPrinted>2021-06-17T17:44:53Z</cp:lastPrinted>
  <dcterms:modified xsi:type="dcterms:W3CDTF">2021-06-17T17:49:31Z</dcterms:modified>
  <cp:revision>18</cp:revision>
</cp:coreProperties>
</file>